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宋体" w:hAnsi="宋体" w:cs="宋体"/>
          <w:b/>
          <w:bCs/>
          <w:kern w:val="0"/>
          <w:sz w:val="44"/>
          <w:szCs w:val="44"/>
        </w:rPr>
      </w:pPr>
    </w:p>
    <w:p>
      <w:pPr>
        <w:spacing w:line="660" w:lineRule="exact"/>
        <w:jc w:val="center"/>
        <w:rPr>
          <w:rFonts w:ascii="宋体" w:hAnsi="宋体" w:cs="宋体"/>
          <w:b/>
          <w:bCs/>
          <w:kern w:val="0"/>
          <w:sz w:val="44"/>
          <w:szCs w:val="44"/>
        </w:rPr>
      </w:pPr>
    </w:p>
    <w:p>
      <w:pPr>
        <w:spacing w:line="660" w:lineRule="exact"/>
        <w:jc w:val="center"/>
        <w:rPr>
          <w:rFonts w:ascii="宋体" w:hAnsi="宋体" w:cs="宋体"/>
          <w:b/>
          <w:bCs/>
          <w:kern w:val="0"/>
          <w:sz w:val="44"/>
          <w:szCs w:val="44"/>
        </w:rPr>
      </w:pPr>
    </w:p>
    <w:p>
      <w:pPr>
        <w:spacing w:line="660" w:lineRule="exact"/>
        <w:jc w:val="center"/>
        <w:rPr>
          <w:rFonts w:ascii="宋体" w:hAnsi="宋体" w:cs="宋体"/>
          <w:b/>
          <w:bCs/>
          <w:kern w:val="0"/>
          <w:sz w:val="44"/>
          <w:szCs w:val="44"/>
        </w:rPr>
      </w:pPr>
    </w:p>
    <w:p>
      <w:pPr>
        <w:spacing w:line="660" w:lineRule="exact"/>
        <w:jc w:val="center"/>
        <w:rPr>
          <w:rFonts w:ascii="宋体" w:hAnsi="宋体" w:cs="宋体"/>
          <w:b/>
          <w:bCs/>
          <w:kern w:val="0"/>
          <w:sz w:val="44"/>
          <w:szCs w:val="44"/>
        </w:rPr>
      </w:pPr>
      <w:r>
        <w:rPr>
          <w:rFonts w:hint="eastAsia" w:ascii="宋体" w:hAnsi="宋体" w:cs="宋体"/>
          <w:b/>
          <w:bCs/>
          <w:kern w:val="0"/>
          <w:sz w:val="44"/>
          <w:szCs w:val="44"/>
        </w:rPr>
        <w:t>甘肃省教育科学研究院</w:t>
      </w:r>
    </w:p>
    <w:p>
      <w:pPr>
        <w:spacing w:line="660" w:lineRule="exact"/>
        <w:jc w:val="center"/>
        <w:rPr>
          <w:rFonts w:ascii="宋体" w:hAnsi="宋体" w:cs="宋体"/>
          <w:b/>
          <w:bCs/>
          <w:kern w:val="0"/>
          <w:sz w:val="44"/>
          <w:szCs w:val="44"/>
        </w:rPr>
        <w:sectPr>
          <w:footerReference r:id="rId3" w:type="default"/>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rPr>
        <w:t xml:space="preserve">2024年单位预算公开情况说明 </w:t>
      </w:r>
    </w:p>
    <w:p>
      <w:pPr>
        <w:spacing w:line="660" w:lineRule="exact"/>
        <w:jc w:val="center"/>
        <w:rPr>
          <w:rFonts w:ascii="宋体" w:hAnsi="宋体" w:cs="宋体"/>
          <w:b/>
          <w:bCs/>
          <w:kern w:val="0"/>
          <w:sz w:val="44"/>
          <w:szCs w:val="44"/>
        </w:rPr>
      </w:pPr>
      <w:r>
        <w:rPr>
          <w:rFonts w:hint="eastAsia" w:ascii="宋体" w:hAnsi="宋体" w:cs="宋体"/>
          <w:b/>
          <w:bCs/>
          <w:kern w:val="0"/>
          <w:sz w:val="44"/>
          <w:szCs w:val="44"/>
        </w:rPr>
        <w:t>目    录</w:t>
      </w:r>
    </w:p>
    <w:p>
      <w:pPr>
        <w:spacing w:line="660" w:lineRule="exact"/>
        <w:jc w:val="center"/>
        <w:rPr>
          <w:rFonts w:ascii="宋体" w:hAnsi="宋体" w:cs="宋体"/>
          <w:b/>
          <w:bCs/>
          <w:kern w:val="0"/>
          <w:sz w:val="44"/>
          <w:szCs w:val="44"/>
        </w:rPr>
      </w:pPr>
    </w:p>
    <w:p>
      <w:pPr>
        <w:spacing w:line="30" w:lineRule="exact"/>
        <w:jc w:val="center"/>
        <w:rPr>
          <w:rFonts w:ascii="黑体" w:eastAsia="黑体"/>
          <w:color w:val="000000"/>
          <w:sz w:val="18"/>
          <w:szCs w:val="18"/>
        </w:rPr>
      </w:pPr>
    </w:p>
    <w:p>
      <w:pPr>
        <w:spacing w:line="56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第一部分  单位基本概况</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一、 单位职责</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二、 机构设置情况</w:t>
      </w:r>
    </w:p>
    <w:p>
      <w:pPr>
        <w:spacing w:line="56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第二部分 2024年单位预算情况说明</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三、 收支总体情况</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四、一般公共预算情况</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五、一般公共预算财政拨款“三公”经费、培训费、会议费等情况</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六、一般公共预算财政拨款机关运行经费情况</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七、政府采购安排情况</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八、国有资产占用情况</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九、其他重要事项情况说明</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十、预算绩效管理情况</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十一、名词解释</w:t>
      </w:r>
    </w:p>
    <w:p>
      <w:pPr>
        <w:spacing w:line="560" w:lineRule="exact"/>
        <w:ind w:firstLine="562" w:firstLineChars="200"/>
        <w:jc w:val="left"/>
        <w:rPr>
          <w:rFonts w:ascii="仿宋" w:hAnsi="仿宋" w:eastAsia="仿宋"/>
          <w:b/>
          <w:color w:val="000000"/>
          <w:sz w:val="28"/>
          <w:szCs w:val="28"/>
        </w:rPr>
      </w:pPr>
      <w:r>
        <w:rPr>
          <w:rFonts w:hint="eastAsia" w:ascii="仿宋" w:hAnsi="仿宋" w:eastAsia="仿宋"/>
          <w:b/>
          <w:color w:val="000000"/>
          <w:sz w:val="28"/>
          <w:szCs w:val="28"/>
        </w:rPr>
        <w:t>第三部分 2024年单位预算公开表</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一、单位收支总体情况表</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二、单位收入总体情况表</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三、单位支出总体情况表</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四、财政拨款收支总体情况表</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五、财政拨款支出表</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六、一般公共预算支出情况表</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七、一般公共预算基本支出情况表</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八、一般公共预算财政拨款“三公”经费、会议费、培训费支出情况表</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九、一般公共预算财政拨款机关运行经费表</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十、政府性基金预算支出情况表</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十一、部门管理转移支付表</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十二、国有资本经营预算支出情况表</w:t>
      </w:r>
    </w:p>
    <w:p>
      <w:pPr>
        <w:spacing w:line="5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十三、单位整体支出绩效目标表和项目支出绩效目标表</w:t>
      </w:r>
    </w:p>
    <w:p>
      <w:pPr>
        <w:spacing w:line="660" w:lineRule="exact"/>
        <w:jc w:val="center"/>
        <w:rPr>
          <w:rFonts w:ascii="宋体" w:hAnsi="宋体" w:cs="宋体"/>
          <w:b/>
          <w:bCs/>
          <w:kern w:val="0"/>
          <w:sz w:val="44"/>
          <w:szCs w:val="44"/>
        </w:rPr>
      </w:pPr>
    </w:p>
    <w:p>
      <w:pPr>
        <w:spacing w:line="600" w:lineRule="exact"/>
        <w:ind w:firstLine="562" w:firstLineChars="200"/>
        <w:rPr>
          <w:rFonts w:ascii="仿宋" w:hAnsi="宋体" w:eastAsia="仿宋" w:cs="宋体"/>
          <w:b/>
          <w:kern w:val="0"/>
          <w:sz w:val="28"/>
          <w:szCs w:val="28"/>
        </w:rPr>
        <w:sectPr>
          <w:footerReference r:id="rId4" w:type="default"/>
          <w:pgSz w:w="11906" w:h="16838"/>
          <w:pgMar w:top="1134" w:right="1134" w:bottom="1440" w:left="1276" w:header="851" w:footer="992" w:gutter="0"/>
          <w:pgNumType w:start="1"/>
          <w:cols w:space="720" w:num="1"/>
          <w:docGrid w:type="lines" w:linePitch="312" w:charSpace="0"/>
        </w:sectPr>
      </w:pPr>
    </w:p>
    <w:p>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前言</w:t>
      </w:r>
    </w:p>
    <w:p>
      <w:pPr>
        <w:spacing w:line="600" w:lineRule="exact"/>
        <w:ind w:firstLine="560" w:firstLineChars="200"/>
        <w:rPr>
          <w:rFonts w:ascii="仿宋" w:hAnsi="宋体" w:eastAsia="仿宋" w:cs="宋体"/>
          <w:kern w:val="0"/>
          <w:sz w:val="28"/>
          <w:szCs w:val="28"/>
        </w:rPr>
      </w:pPr>
      <w:r>
        <w:rPr>
          <w:rFonts w:hint="eastAsia" w:ascii="仿宋" w:hAnsi="宋体" w:eastAsia="仿宋" w:cs="宋体"/>
          <w:kern w:val="0"/>
          <w:sz w:val="28"/>
          <w:szCs w:val="28"/>
        </w:rPr>
        <w:t>按照《中华人民共和国预算法》《中华人民共和国预算法实施条例》以及财政部《地方预决算公开操作规程》《关于推进部门所属单位预算公开的指导意见》和《中共甘肃省委办公厅 甘肃省人民政府办公厅关于进一步推进预算公开工作的实施方案》要求，现将2024年部门预算公开如下：</w:t>
      </w:r>
    </w:p>
    <w:p>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一、单位职责</w:t>
      </w:r>
    </w:p>
    <w:p>
      <w:pPr>
        <w:pStyle w:val="12"/>
        <w:spacing w:line="560" w:lineRule="exact"/>
        <w:ind w:firstLine="560"/>
        <w:rPr>
          <w:rFonts w:ascii="仿宋" w:hAnsi="仿宋" w:eastAsia="仿宋"/>
          <w:color w:val="000000"/>
          <w:sz w:val="28"/>
          <w:szCs w:val="28"/>
        </w:rPr>
      </w:pPr>
      <w:r>
        <w:rPr>
          <w:rFonts w:hint="eastAsia" w:ascii="仿宋" w:hAnsi="仿宋" w:eastAsia="仿宋"/>
          <w:color w:val="000000"/>
          <w:sz w:val="28"/>
          <w:szCs w:val="28"/>
        </w:rPr>
        <w:t>根据省委编办批复的省教科院“三定”方案，单位围绕省教育厅的中心工作，根据全省教育改革与发展的需要，开展教育政策与发展研究，为教育行政部门提供决策咨询；从事教育科学研究，开展教育基础理论与应用研究，促进教育科学发展；组织开展学校课程建设、课程管理、课程实施、课程评价、课程资源开发与应用等研究与指导，为基层学校发展服务；组织开展基础教育教学研究，开展教改实验，总结推广教改经验，转变人才培养模式，推进学校教育教学改革；从事教师专业发展研究与研修培训，建立教科研共同体，为教师专业发展提供指导和服务；组织开展教育教学评价、质量监测以及考试改革与命题研究等指导和服务；开展德育与心理健康教育研究指导和服务；制定全省教育科学规划并指导实施，组织开展教育科学规划课题研究管理、成果鉴定以及推广应用；组织实施国际教育交流与合作项目，借鉴和汲取国内外教育发展的有益经验，为甘肃教育改革发展服务；编辑出版《教育革新》期刊；承担省教育厅交办的其他有关工作。</w:t>
      </w:r>
    </w:p>
    <w:p>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二、机构设置情况</w:t>
      </w:r>
    </w:p>
    <w:p>
      <w:pPr>
        <w:pStyle w:val="12"/>
        <w:spacing w:line="560" w:lineRule="exact"/>
        <w:ind w:firstLine="562"/>
        <w:rPr>
          <w:rFonts w:ascii="仿宋" w:hAnsi="宋体" w:eastAsia="仿宋" w:cs="宋体"/>
          <w:b/>
          <w:bCs/>
          <w:kern w:val="0"/>
          <w:sz w:val="28"/>
          <w:szCs w:val="28"/>
        </w:rPr>
      </w:pPr>
      <w:r>
        <w:rPr>
          <w:rFonts w:hint="eastAsia" w:ascii="仿宋" w:hAnsi="宋体" w:eastAsia="仿宋" w:cs="宋体"/>
          <w:b/>
          <w:bCs/>
          <w:kern w:val="0"/>
          <w:sz w:val="28"/>
          <w:szCs w:val="28"/>
        </w:rPr>
        <w:t>（一）机关内设机构</w:t>
      </w:r>
    </w:p>
    <w:p>
      <w:pPr>
        <w:pStyle w:val="12"/>
        <w:spacing w:line="560" w:lineRule="exact"/>
        <w:ind w:firstLine="560"/>
        <w:rPr>
          <w:rFonts w:ascii="仿宋" w:hAnsi="宋体" w:eastAsia="仿宋" w:cs="宋体"/>
          <w:kern w:val="0"/>
          <w:sz w:val="28"/>
          <w:szCs w:val="28"/>
        </w:rPr>
      </w:pPr>
      <w:r>
        <w:rPr>
          <w:rFonts w:hint="eastAsia" w:ascii="仿宋" w:hAnsi="仿宋" w:eastAsia="仿宋"/>
          <w:color w:val="000000"/>
          <w:sz w:val="28"/>
          <w:szCs w:val="28"/>
        </w:rPr>
        <w:t>甘肃省教育科学研究院内设9个职能所室，具体为义务教育研究所、高中与学前教育研究所、德育与心理健康教育研究所、体育美育与劳动教育研究所、教育发展研究所、教师发展研究所、教育评价与未来教育研究所、教育科学规划研究所、办公室（党办）。</w:t>
      </w:r>
    </w:p>
    <w:p>
      <w:pPr>
        <w:spacing w:line="600" w:lineRule="exact"/>
        <w:ind w:firstLine="562" w:firstLineChars="200"/>
        <w:rPr>
          <w:rFonts w:ascii="仿宋" w:hAnsi="宋体" w:eastAsia="仿宋" w:cs="宋体"/>
          <w:kern w:val="0"/>
          <w:sz w:val="28"/>
          <w:szCs w:val="28"/>
        </w:rPr>
      </w:pPr>
      <w:r>
        <w:rPr>
          <w:rFonts w:hint="eastAsia" w:ascii="仿宋" w:hAnsi="宋体" w:eastAsia="仿宋" w:cs="宋体"/>
          <w:b/>
          <w:bCs/>
          <w:kern w:val="0"/>
          <w:sz w:val="28"/>
          <w:szCs w:val="28"/>
        </w:rPr>
        <w:t>（二）参照公务员法管理单位</w:t>
      </w:r>
    </w:p>
    <w:p>
      <w:pPr>
        <w:pStyle w:val="12"/>
        <w:spacing w:line="560" w:lineRule="exact"/>
        <w:ind w:firstLine="560"/>
        <w:rPr>
          <w:rFonts w:ascii="仿宋" w:hAnsi="宋体" w:eastAsia="仿宋" w:cs="宋体"/>
          <w:kern w:val="0"/>
          <w:sz w:val="28"/>
          <w:szCs w:val="28"/>
        </w:rPr>
      </w:pPr>
      <w:r>
        <w:rPr>
          <w:rFonts w:hint="eastAsia" w:ascii="仿宋" w:hAnsi="仿宋" w:eastAsia="仿宋"/>
          <w:color w:val="000000"/>
          <w:sz w:val="28"/>
          <w:szCs w:val="28"/>
        </w:rPr>
        <w:t>本单位无参照公务员法管理的单位</w:t>
      </w:r>
    </w:p>
    <w:p>
      <w:pPr>
        <w:pStyle w:val="12"/>
        <w:spacing w:line="560" w:lineRule="exact"/>
        <w:ind w:firstLine="562"/>
        <w:rPr>
          <w:rFonts w:ascii="仿宋" w:hAnsi="宋体" w:eastAsia="仿宋" w:cs="宋体"/>
          <w:b/>
          <w:bCs/>
          <w:kern w:val="0"/>
          <w:sz w:val="28"/>
          <w:szCs w:val="28"/>
        </w:rPr>
      </w:pPr>
      <w:r>
        <w:rPr>
          <w:rFonts w:hint="eastAsia" w:ascii="仿宋" w:hAnsi="宋体" w:eastAsia="仿宋" w:cs="宋体"/>
          <w:b/>
          <w:bCs/>
          <w:kern w:val="0"/>
          <w:sz w:val="28"/>
          <w:szCs w:val="28"/>
        </w:rPr>
        <w:t>（三）直属事业单位</w:t>
      </w:r>
    </w:p>
    <w:p>
      <w:pPr>
        <w:pStyle w:val="12"/>
        <w:spacing w:line="560" w:lineRule="exact"/>
        <w:ind w:firstLine="560"/>
        <w:rPr>
          <w:rFonts w:ascii="仿宋" w:hAnsi="宋体" w:eastAsia="仿宋" w:cs="宋体"/>
          <w:kern w:val="0"/>
          <w:sz w:val="28"/>
          <w:szCs w:val="28"/>
        </w:rPr>
      </w:pPr>
      <w:r>
        <w:rPr>
          <w:rFonts w:hint="eastAsia" w:ascii="仿宋" w:hAnsi="宋体" w:eastAsia="仿宋" w:cs="宋体"/>
          <w:kern w:val="0"/>
          <w:sz w:val="28"/>
          <w:szCs w:val="28"/>
        </w:rPr>
        <w:t>本单位无直属事业单位</w:t>
      </w:r>
    </w:p>
    <w:p>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三、</w:t>
      </w:r>
      <w:r>
        <w:rPr>
          <w:rFonts w:ascii="仿宋" w:hAnsi="宋体" w:eastAsia="仿宋" w:cs="宋体"/>
          <w:b/>
          <w:kern w:val="0"/>
          <w:sz w:val="28"/>
          <w:szCs w:val="28"/>
        </w:rPr>
        <w:t>单位收支总体情况</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按照预算管理有关规定，2024年单位收支包括机关预算和直属单位预算在内的汇总情况。</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2024年单位收支总预算2,980.24万元。按照综合预算的原则，单位所有收入和支出均纳入单位预算管理。收入包括：一般公共预算拨款收入、事业单位经营收入；支出包括：教育支出、科学技术支出、社会保障和就业支出、卫生健康支出、住房保障支出。</w:t>
      </w:r>
    </w:p>
    <w:p>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（一）收入预算</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2024年收入预算2,980.24万元（详见单位预算公开表1，2）。包括：</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一般公共预算收入1,106.49万元，占37.13%；</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政府性基金预算收入0.00万元，占0.00%；</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上年结转收入423.75万元，占14.22%；</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其他收入1,450.00万元，占48.65%。</w:t>
      </w:r>
    </w:p>
    <w:tbl>
      <w:tblPr>
        <w:tblStyle w:val="8"/>
        <w:tblW w:w="9639" w:type="dxa"/>
        <w:tblInd w:w="0" w:type="dxa"/>
        <w:tblLayout w:type="fixed"/>
        <w:tblCellMar>
          <w:top w:w="0" w:type="dxa"/>
          <w:left w:w="108" w:type="dxa"/>
          <w:bottom w:w="0" w:type="dxa"/>
          <w:right w:w="108" w:type="dxa"/>
        </w:tblCellMar>
      </w:tblPr>
      <w:tblGrid>
        <w:gridCol w:w="9639"/>
      </w:tblGrid>
      <w:tr>
        <w:tblPrEx>
          <w:tblLayout w:type="fixed"/>
          <w:tblCellMar>
            <w:top w:w="0" w:type="dxa"/>
            <w:left w:w="108" w:type="dxa"/>
            <w:bottom w:w="0" w:type="dxa"/>
            <w:right w:w="108" w:type="dxa"/>
          </w:tblCellMar>
        </w:tblPrEx>
        <w:trPr>
          <w:trHeight w:val="8505" w:hRule="atLeast"/>
        </w:trPr>
        <w:tc>
          <w:tcPr>
            <w:tcW w:w="9639" w:type="dxa"/>
            <w:shd w:val="clear" w:color="auto" w:fill="auto"/>
          </w:tcPr>
          <w:p>
            <w:pPr>
              <w:jc w:val="center"/>
              <w:rPr>
                <w:rFonts w:ascii="微软雅黑" w:hAnsi="微软雅黑" w:eastAsia="微软雅黑"/>
                <w:b/>
              </w:rPr>
            </w:pPr>
            <w:r>
              <w:rPr>
                <w:rFonts w:hint="eastAsia" w:ascii="微软雅黑" w:hAnsi="微软雅黑" w:eastAsia="微软雅黑"/>
                <w:b/>
                <w:sz w:val="28"/>
                <w:szCs w:val="28"/>
              </w:rPr>
              <w:t>图1、收入预算构成</w:t>
            </w:r>
          </w:p>
          <w:p>
            <w:pPr>
              <w:jc w:val="center"/>
            </w:pPr>
            <w:r>
              <w:drawing>
                <wp:inline distT="0" distB="0" distL="0" distR="0">
                  <wp:extent cx="142240" cy="142240"/>
                  <wp:effectExtent l="19050" t="0" r="0" b="0"/>
                  <wp:docPr id="1" name="colorlegend01"/>
                  <wp:cNvGraphicFramePr/>
                  <a:graphic xmlns:a="http://schemas.openxmlformats.org/drawingml/2006/main">
                    <a:graphicData uri="http://schemas.openxmlformats.org/drawingml/2006/picture">
                      <pic:pic xmlns:pic="http://schemas.openxmlformats.org/drawingml/2006/picture">
                        <pic:nvPicPr>
                          <pic:cNvPr id="1" name="colorlegend01"/>
                          <pic:cNvPicPr>
                            <a:picLocks noChangeArrowheads="1"/>
                          </pic:cNvPicPr>
                        </pic:nvPicPr>
                        <pic:blipFill>
                          <a:blip r:embed="rId6" cstate="print"/>
                          <a:srcRect/>
                          <a:stretch>
                            <a:fillRect/>
                          </a:stretch>
                        </pic:blipFill>
                        <pic:spPr>
                          <a:xfrm>
                            <a:off x="0" y="0"/>
                            <a:ext cx="142240" cy="142240"/>
                          </a:xfrm>
                          <a:prstGeom prst="rect">
                            <a:avLst/>
                          </a:prstGeom>
                          <a:noFill/>
                          <a:ln w="9525">
                            <a:noFill/>
                            <a:miter lim="800000"/>
                            <a:headEnd/>
                            <a:tailEnd/>
                          </a:ln>
                        </pic:spPr>
                      </pic:pic>
                    </a:graphicData>
                  </a:graphic>
                </wp:inline>
              </w:drawing>
            </w:r>
            <w:r>
              <w:rPr>
                <w:rFonts w:hint="eastAsia" w:ascii="微软雅黑" w:hAnsi="微软雅黑" w:eastAsia="微软雅黑"/>
                <w:b/>
                <w:sz w:val="18"/>
                <w:szCs w:val="18"/>
              </w:rPr>
              <w:t xml:space="preserve">一般公共预算收入  </w:t>
            </w:r>
            <w:r>
              <w:drawing>
                <wp:inline distT="0" distB="0" distL="0" distR="0">
                  <wp:extent cx="142240" cy="142240"/>
                  <wp:effectExtent l="19050" t="0" r="0" b="0"/>
                  <wp:docPr id="2" name="colorlegend02"/>
                  <wp:cNvGraphicFramePr/>
                  <a:graphic xmlns:a="http://schemas.openxmlformats.org/drawingml/2006/main">
                    <a:graphicData uri="http://schemas.openxmlformats.org/drawingml/2006/picture">
                      <pic:pic xmlns:pic="http://schemas.openxmlformats.org/drawingml/2006/picture">
                        <pic:nvPicPr>
                          <pic:cNvPr id="2" name="colorlegend02"/>
                          <pic:cNvPicPr>
                            <a:picLocks noChangeArrowheads="1"/>
                          </pic:cNvPicPr>
                        </pic:nvPicPr>
                        <pic:blipFill>
                          <a:blip r:embed="rId7" cstate="print"/>
                          <a:srcRect/>
                          <a:stretch>
                            <a:fillRect/>
                          </a:stretch>
                        </pic:blipFill>
                        <pic:spPr>
                          <a:xfrm>
                            <a:off x="0" y="0"/>
                            <a:ext cx="142240" cy="142240"/>
                          </a:xfrm>
                          <a:prstGeom prst="rect">
                            <a:avLst/>
                          </a:prstGeom>
                          <a:noFill/>
                          <a:ln w="9525">
                            <a:noFill/>
                            <a:miter lim="800000"/>
                            <a:headEnd/>
                            <a:tailEnd/>
                          </a:ln>
                        </pic:spPr>
                      </pic:pic>
                    </a:graphicData>
                  </a:graphic>
                </wp:inline>
              </w:drawing>
            </w:r>
            <w:r>
              <w:rPr>
                <w:rFonts w:hint="eastAsia" w:ascii="微软雅黑" w:hAnsi="微软雅黑" w:eastAsia="微软雅黑"/>
                <w:b/>
                <w:sz w:val="18"/>
                <w:szCs w:val="18"/>
              </w:rPr>
              <w:t xml:space="preserve">政府性基金预算收入  </w:t>
            </w:r>
            <w:r>
              <w:drawing>
                <wp:inline distT="0" distB="0" distL="0" distR="0">
                  <wp:extent cx="142240" cy="142240"/>
                  <wp:effectExtent l="19050" t="0" r="0" b="0"/>
                  <wp:docPr id="3" name="colorlegend03"/>
                  <wp:cNvGraphicFramePr/>
                  <a:graphic xmlns:a="http://schemas.openxmlformats.org/drawingml/2006/main">
                    <a:graphicData uri="http://schemas.openxmlformats.org/drawingml/2006/picture">
                      <pic:pic xmlns:pic="http://schemas.openxmlformats.org/drawingml/2006/picture">
                        <pic:nvPicPr>
                          <pic:cNvPr id="3" name="colorlegend03"/>
                          <pic:cNvPicPr>
                            <a:picLocks noChangeArrowheads="1"/>
                          </pic:cNvPicPr>
                        </pic:nvPicPr>
                        <pic:blipFill>
                          <a:blip r:embed="rId8" cstate="print"/>
                          <a:srcRect/>
                          <a:stretch>
                            <a:fillRect/>
                          </a:stretch>
                        </pic:blipFill>
                        <pic:spPr>
                          <a:xfrm>
                            <a:off x="0" y="0"/>
                            <a:ext cx="142240" cy="142240"/>
                          </a:xfrm>
                          <a:prstGeom prst="rect">
                            <a:avLst/>
                          </a:prstGeom>
                          <a:noFill/>
                          <a:ln w="9525">
                            <a:noFill/>
                            <a:miter lim="800000"/>
                            <a:headEnd/>
                            <a:tailEnd/>
                          </a:ln>
                        </pic:spPr>
                      </pic:pic>
                    </a:graphicData>
                  </a:graphic>
                </wp:inline>
              </w:drawing>
            </w:r>
            <w:r>
              <w:rPr>
                <w:rFonts w:hint="eastAsia" w:ascii="微软雅黑" w:hAnsi="微软雅黑" w:eastAsia="微软雅黑"/>
                <w:b/>
                <w:sz w:val="18"/>
                <w:szCs w:val="18"/>
              </w:rPr>
              <w:t xml:space="preserve">当年其他收入  </w:t>
            </w:r>
            <w:r>
              <w:drawing>
                <wp:inline distT="0" distB="0" distL="0" distR="0">
                  <wp:extent cx="142240" cy="142240"/>
                  <wp:effectExtent l="19050" t="0" r="0" b="0"/>
                  <wp:docPr id="4" name="colorlegend04"/>
                  <wp:cNvGraphicFramePr/>
                  <a:graphic xmlns:a="http://schemas.openxmlformats.org/drawingml/2006/main">
                    <a:graphicData uri="http://schemas.openxmlformats.org/drawingml/2006/picture">
                      <pic:pic xmlns:pic="http://schemas.openxmlformats.org/drawingml/2006/picture">
                        <pic:nvPicPr>
                          <pic:cNvPr id="4" name="colorlegend04"/>
                          <pic:cNvPicPr>
                            <a:picLocks noChangeArrowheads="1"/>
                          </pic:cNvPicPr>
                        </pic:nvPicPr>
                        <pic:blipFill>
                          <a:blip r:embed="rId9" cstate="print"/>
                          <a:srcRect/>
                          <a:stretch>
                            <a:fillRect/>
                          </a:stretch>
                        </pic:blipFill>
                        <pic:spPr>
                          <a:xfrm>
                            <a:off x="0" y="0"/>
                            <a:ext cx="142240" cy="142240"/>
                          </a:xfrm>
                          <a:prstGeom prst="rect">
                            <a:avLst/>
                          </a:prstGeom>
                          <a:noFill/>
                          <a:ln w="9525">
                            <a:noFill/>
                            <a:miter lim="800000"/>
                            <a:headEnd/>
                            <a:tailEnd/>
                          </a:ln>
                        </pic:spPr>
                      </pic:pic>
                    </a:graphicData>
                  </a:graphic>
                </wp:inline>
              </w:drawing>
            </w:r>
            <w:r>
              <w:rPr>
                <w:rFonts w:hint="eastAsia" w:ascii="微软雅黑" w:hAnsi="微软雅黑" w:eastAsia="微软雅黑"/>
                <w:b/>
                <w:sz w:val="18"/>
                <w:szCs w:val="18"/>
              </w:rPr>
              <w:t xml:space="preserve">上年结转收入  </w:t>
            </w:r>
          </w:p>
          <w:p>
            <w:r>
              <w:rPr>
                <w:rFonts w:ascii="微软雅黑" w:hAnsi="微软雅黑" w:eastAsia="微软雅黑"/>
                <w:b/>
              </w:rPr>
              <w:drawing>
                <wp:anchor distT="0" distB="0" distL="114300" distR="114300" simplePos="0" relativeHeight="251657216" behindDoc="0" locked="0" layoutInCell="1" allowOverlap="1">
                  <wp:simplePos x="0" y="0"/>
                  <wp:positionH relativeFrom="column">
                    <wp:posOffset>83185</wp:posOffset>
                  </wp:positionH>
                  <wp:positionV relativeFrom="paragraph">
                    <wp:posOffset>241300</wp:posOffset>
                  </wp:positionV>
                  <wp:extent cx="5715000" cy="4572000"/>
                  <wp:effectExtent l="19050" t="0" r="0" b="0"/>
                  <wp:wrapTopAndBottom/>
                  <wp:docPr id="18" name="图片 2" descr="6404"/>
                  <wp:cNvGraphicFramePr/>
                  <a:graphic xmlns:a="http://schemas.openxmlformats.org/drawingml/2006/main">
                    <a:graphicData uri="http://schemas.openxmlformats.org/drawingml/2006/picture">
                      <pic:pic xmlns:pic="http://schemas.openxmlformats.org/drawingml/2006/picture">
                        <pic:nvPicPr>
                          <pic:cNvPr id="18" name="图片 2" descr="6404"/>
                          <pic:cNvPicPr>
                            <a:picLocks noChangeArrowheads="1"/>
                          </pic:cNvPicPr>
                        </pic:nvPicPr>
                        <pic:blipFill>
                          <a:blip r:embed="rId10" cstate="print">
                            <a:clrChange>
                              <a:clrFrom>
                                <a:srgbClr val="FFFFFF"/>
                              </a:clrFrom>
                              <a:clrTo>
                                <a:srgbClr val="FFFFFF">
                                  <a:alpha val="0"/>
                                </a:srgbClr>
                              </a:clrTo>
                            </a:clrChange>
                          </a:blip>
                          <a:srcRect t="2083"/>
                          <a:stretch>
                            <a:fillRect/>
                          </a:stretch>
                        </pic:blipFill>
                        <pic:spPr>
                          <a:xfrm>
                            <a:off x="0" y="0"/>
                            <a:ext cx="5715000" cy="4572000"/>
                          </a:xfrm>
                          <a:prstGeom prst="rect">
                            <a:avLst/>
                          </a:prstGeom>
                          <a:noFill/>
                        </pic:spPr>
                      </pic:pic>
                    </a:graphicData>
                  </a:graphic>
                </wp:anchor>
              </w:drawing>
            </w:r>
          </w:p>
        </w:tc>
      </w:tr>
    </w:tbl>
    <w:p>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（二）支出预算</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2024年支出预算2,980.24万元（详见单位预算公开表3）。其中：基本支出2,166.49万元，占72.69%；项目支出390.00万元，占13.09%；上年结转收入423.75万元，占14.22%。</w:t>
      </w:r>
    </w:p>
    <w:p>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四、一般公共预算情况</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2024年一般公共预算支出1,106.49万元，包括：教育支出608.96万元、科学技术支出300.00万元、社会保障和就业支出96.12万元、卫生健康支出49.63万元、住房保障支出51.78万元。</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具体安排情况如下（详见单位（单位）预算公开表4,5,6,7）：</w:t>
      </w:r>
    </w:p>
    <w:tbl>
      <w:tblPr>
        <w:tblStyle w:val="8"/>
        <w:tblW w:w="9639" w:type="dxa"/>
        <w:tblInd w:w="0" w:type="dxa"/>
        <w:tblLayout w:type="fixed"/>
        <w:tblCellMar>
          <w:top w:w="0" w:type="dxa"/>
          <w:left w:w="108" w:type="dxa"/>
          <w:bottom w:w="0" w:type="dxa"/>
          <w:right w:w="108" w:type="dxa"/>
        </w:tblCellMar>
      </w:tblPr>
      <w:tblGrid>
        <w:gridCol w:w="9639"/>
      </w:tblGrid>
      <w:tr>
        <w:tblPrEx>
          <w:tblLayout w:type="fixed"/>
          <w:tblCellMar>
            <w:top w:w="0" w:type="dxa"/>
            <w:left w:w="108" w:type="dxa"/>
            <w:bottom w:w="0" w:type="dxa"/>
            <w:right w:w="108" w:type="dxa"/>
          </w:tblCellMar>
        </w:tblPrEx>
        <w:trPr>
          <w:trHeight w:val="8505" w:hRule="atLeast"/>
        </w:trPr>
        <w:tc>
          <w:tcPr>
            <w:tcW w:w="9639" w:type="dxa"/>
            <w:shd w:val="clear" w:color="auto" w:fill="auto"/>
          </w:tcPr>
          <w:p>
            <w:pPr>
              <w:jc w:val="center"/>
              <w:rPr>
                <w:rFonts w:ascii="微软雅黑" w:hAnsi="微软雅黑" w:eastAsia="微软雅黑"/>
                <w:b/>
              </w:rPr>
            </w:pPr>
            <w:r>
              <w:rPr>
                <w:rFonts w:hint="eastAsia" w:ascii="微软雅黑" w:hAnsi="微软雅黑" w:eastAsia="微软雅黑"/>
                <w:b/>
                <w:sz w:val="28"/>
                <w:szCs w:val="28"/>
              </w:rPr>
              <w:t>图2、支出预算构成</w:t>
            </w:r>
          </w:p>
          <w:p>
            <w:pPr>
              <w:jc w:val="center"/>
            </w:pPr>
            <w:r>
              <w:drawing>
                <wp:inline distT="0" distB="0" distL="0" distR="0">
                  <wp:extent cx="142240" cy="142240"/>
                  <wp:effectExtent l="19050" t="0" r="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a:picLocks noChangeArrowheads="1"/>
                          </pic:cNvPicPr>
                        </pic:nvPicPr>
                        <pic:blipFill>
                          <a:blip r:embed="rId6" cstate="print"/>
                          <a:srcRect/>
                          <a:stretch>
                            <a:fillRect/>
                          </a:stretch>
                        </pic:blipFill>
                        <pic:spPr>
                          <a:xfrm>
                            <a:off x="0" y="0"/>
                            <a:ext cx="142240" cy="142240"/>
                          </a:xfrm>
                          <a:prstGeom prst="rect">
                            <a:avLst/>
                          </a:prstGeom>
                          <a:noFill/>
                          <a:ln w="9525">
                            <a:noFill/>
                            <a:miter lim="800000"/>
                            <a:headEnd/>
                            <a:tailEnd/>
                          </a:ln>
                        </pic:spPr>
                      </pic:pic>
                    </a:graphicData>
                  </a:graphic>
                </wp:inline>
              </w:drawing>
            </w:r>
            <w:r>
              <w:rPr>
                <w:rFonts w:hint="eastAsia" w:ascii="微软雅黑" w:hAnsi="微软雅黑" w:eastAsia="微软雅黑"/>
                <w:b/>
                <w:sz w:val="18"/>
                <w:szCs w:val="18"/>
              </w:rPr>
              <w:t xml:space="preserve">教育支出  </w:t>
            </w:r>
            <w:r>
              <w:drawing>
                <wp:inline distT="0" distB="0" distL="0" distR="0">
                  <wp:extent cx="142240" cy="142240"/>
                  <wp:effectExtent l="19050" t="0" r="0" b="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a:picLocks noChangeArrowheads="1"/>
                          </pic:cNvPicPr>
                        </pic:nvPicPr>
                        <pic:blipFill>
                          <a:blip r:embed="rId7" cstate="print"/>
                          <a:srcRect/>
                          <a:stretch>
                            <a:fillRect/>
                          </a:stretch>
                        </pic:blipFill>
                        <pic:spPr>
                          <a:xfrm>
                            <a:off x="0" y="0"/>
                            <a:ext cx="142240" cy="142240"/>
                          </a:xfrm>
                          <a:prstGeom prst="rect">
                            <a:avLst/>
                          </a:prstGeom>
                          <a:noFill/>
                          <a:ln w="9525">
                            <a:noFill/>
                            <a:miter lim="800000"/>
                            <a:headEnd/>
                            <a:tailEnd/>
                          </a:ln>
                        </pic:spPr>
                      </pic:pic>
                    </a:graphicData>
                  </a:graphic>
                </wp:inline>
              </w:drawing>
            </w:r>
            <w:r>
              <w:rPr>
                <w:rFonts w:hint="eastAsia" w:ascii="微软雅黑" w:hAnsi="微软雅黑" w:eastAsia="微软雅黑"/>
                <w:b/>
                <w:sz w:val="18"/>
                <w:szCs w:val="18"/>
              </w:rPr>
              <w:t xml:space="preserve">科学技术支出  </w:t>
            </w:r>
            <w:r>
              <w:drawing>
                <wp:inline distT="0" distB="0" distL="0" distR="0">
                  <wp:extent cx="142240" cy="142240"/>
                  <wp:effectExtent l="19050" t="0" r="0"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8" cstate="print"/>
                          <a:srcRect/>
                          <a:stretch>
                            <a:fillRect/>
                          </a:stretch>
                        </pic:blipFill>
                        <pic:spPr>
                          <a:xfrm>
                            <a:off x="0" y="0"/>
                            <a:ext cx="142240" cy="142240"/>
                          </a:xfrm>
                          <a:prstGeom prst="rect">
                            <a:avLst/>
                          </a:prstGeom>
                          <a:noFill/>
                          <a:ln w="9525">
                            <a:noFill/>
                            <a:miter lim="800000"/>
                            <a:headEnd/>
                            <a:tailEnd/>
                          </a:ln>
                        </pic:spPr>
                      </pic:pic>
                    </a:graphicData>
                  </a:graphic>
                </wp:inline>
              </w:drawing>
            </w:r>
            <w:r>
              <w:rPr>
                <w:rFonts w:hint="eastAsia" w:ascii="微软雅黑" w:hAnsi="微软雅黑" w:eastAsia="微软雅黑"/>
                <w:b/>
                <w:sz w:val="18"/>
                <w:szCs w:val="18"/>
              </w:rPr>
              <w:t xml:space="preserve">社会保障和就业支出  </w:t>
            </w:r>
            <w:r>
              <w:drawing>
                <wp:inline distT="0" distB="0" distL="0" distR="0">
                  <wp:extent cx="142240" cy="142240"/>
                  <wp:effectExtent l="19050" t="0" r="0" b="0"/>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a:picLocks noChangeArrowheads="1"/>
                          </pic:cNvPicPr>
                        </pic:nvPicPr>
                        <pic:blipFill>
                          <a:blip r:embed="rId9" cstate="print"/>
                          <a:srcRect/>
                          <a:stretch>
                            <a:fillRect/>
                          </a:stretch>
                        </pic:blipFill>
                        <pic:spPr>
                          <a:xfrm>
                            <a:off x="0" y="0"/>
                            <a:ext cx="142240" cy="142240"/>
                          </a:xfrm>
                          <a:prstGeom prst="rect">
                            <a:avLst/>
                          </a:prstGeom>
                          <a:noFill/>
                          <a:ln w="9525">
                            <a:noFill/>
                            <a:miter lim="800000"/>
                            <a:headEnd/>
                            <a:tailEnd/>
                          </a:ln>
                        </pic:spPr>
                      </pic:pic>
                    </a:graphicData>
                  </a:graphic>
                </wp:inline>
              </w:drawing>
            </w:r>
            <w:r>
              <w:rPr>
                <w:rFonts w:hint="eastAsia" w:ascii="微软雅黑" w:hAnsi="微软雅黑" w:eastAsia="微软雅黑"/>
                <w:b/>
                <w:sz w:val="18"/>
                <w:szCs w:val="18"/>
              </w:rPr>
              <w:t xml:space="preserve">卫生健康支出  </w:t>
            </w:r>
            <w:r>
              <w:drawing>
                <wp:inline distT="0" distB="0" distL="0" distR="0">
                  <wp:extent cx="142240" cy="142240"/>
                  <wp:effectExtent l="19050" t="0" r="0" b="0"/>
                  <wp:docPr id="9" name="colorlegend05"/>
                  <wp:cNvGraphicFramePr/>
                  <a:graphic xmlns:a="http://schemas.openxmlformats.org/drawingml/2006/main">
                    <a:graphicData uri="http://schemas.openxmlformats.org/drawingml/2006/picture">
                      <pic:pic xmlns:pic="http://schemas.openxmlformats.org/drawingml/2006/picture">
                        <pic:nvPicPr>
                          <pic:cNvPr id="9" name="colorlegend05"/>
                          <pic:cNvPicPr>
                            <a:picLocks noChangeArrowheads="1"/>
                          </pic:cNvPicPr>
                        </pic:nvPicPr>
                        <pic:blipFill>
                          <a:blip r:embed="rId11" cstate="print"/>
                          <a:srcRect/>
                          <a:stretch>
                            <a:fillRect/>
                          </a:stretch>
                        </pic:blipFill>
                        <pic:spPr>
                          <a:xfrm>
                            <a:off x="0" y="0"/>
                            <a:ext cx="142240" cy="142240"/>
                          </a:xfrm>
                          <a:prstGeom prst="rect">
                            <a:avLst/>
                          </a:prstGeom>
                          <a:noFill/>
                          <a:ln w="9525">
                            <a:noFill/>
                            <a:miter lim="800000"/>
                            <a:headEnd/>
                            <a:tailEnd/>
                          </a:ln>
                        </pic:spPr>
                      </pic:pic>
                    </a:graphicData>
                  </a:graphic>
                </wp:inline>
              </w:drawing>
            </w:r>
            <w:r>
              <w:rPr>
                <w:rFonts w:hint="eastAsia" w:ascii="微软雅黑" w:hAnsi="微软雅黑" w:eastAsia="微软雅黑"/>
                <w:b/>
                <w:sz w:val="18"/>
                <w:szCs w:val="18"/>
              </w:rPr>
              <w:t xml:space="preserve">住房保障支出  </w:t>
            </w:r>
          </w:p>
          <w:p>
            <w:pPr>
              <w:jc w:val="center"/>
              <w:rPr>
                <w:rFonts w:ascii="微软雅黑" w:hAnsi="微软雅黑" w:eastAsia="微软雅黑"/>
                <w:b/>
              </w:rPr>
            </w:pPr>
            <w:r>
              <w:rPr>
                <w:rFonts w:ascii="微软雅黑" w:hAnsi="微软雅黑" w:eastAsia="微软雅黑"/>
                <w:b/>
              </w:rPr>
              <w:drawing>
                <wp:anchor distT="0" distB="0" distL="114300" distR="114300" simplePos="0" relativeHeight="251658240" behindDoc="0" locked="0" layoutInCell="1" allowOverlap="1">
                  <wp:simplePos x="0" y="0"/>
                  <wp:positionH relativeFrom="column">
                    <wp:posOffset>83185</wp:posOffset>
                  </wp:positionH>
                  <wp:positionV relativeFrom="paragraph">
                    <wp:posOffset>241300</wp:posOffset>
                  </wp:positionV>
                  <wp:extent cx="5715000" cy="4572000"/>
                  <wp:effectExtent l="19050" t="0" r="0" b="0"/>
                  <wp:wrapTopAndBottom/>
                  <wp:docPr id="17" name="图片 10" descr="6404"/>
                  <wp:cNvGraphicFramePr/>
                  <a:graphic xmlns:a="http://schemas.openxmlformats.org/drawingml/2006/main">
                    <a:graphicData uri="http://schemas.openxmlformats.org/drawingml/2006/picture">
                      <pic:pic xmlns:pic="http://schemas.openxmlformats.org/drawingml/2006/picture">
                        <pic:nvPicPr>
                          <pic:cNvPr id="17" name="图片 10" descr="6404"/>
                          <pic:cNvPicPr>
                            <a:picLocks noChangeArrowheads="1"/>
                          </pic:cNvPicPr>
                        </pic:nvPicPr>
                        <pic:blipFill>
                          <a:blip r:embed="rId12" cstate="print">
                            <a:clrChange>
                              <a:clrFrom>
                                <a:srgbClr val="FFFFFF"/>
                              </a:clrFrom>
                              <a:clrTo>
                                <a:srgbClr val="FFFFFF">
                                  <a:alpha val="0"/>
                                </a:srgbClr>
                              </a:clrTo>
                            </a:clrChange>
                          </a:blip>
                          <a:srcRect t="2083"/>
                          <a:stretch>
                            <a:fillRect/>
                          </a:stretch>
                        </pic:blipFill>
                        <pic:spPr>
                          <a:xfrm>
                            <a:off x="0" y="0"/>
                            <a:ext cx="5715000" cy="4572000"/>
                          </a:xfrm>
                          <a:prstGeom prst="rect">
                            <a:avLst/>
                          </a:prstGeom>
                          <a:noFill/>
                        </pic:spPr>
                      </pic:pic>
                    </a:graphicData>
                  </a:graphic>
                </wp:anchor>
              </w:drawing>
            </w:r>
          </w:p>
        </w:tc>
      </w:tr>
    </w:tbl>
    <w:p>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（一）基本支出</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2024年基本支出716.49万元，比2023年预算减少58.12万元，下降7.50%，下降的主要原因在职职工人数减少。</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其中：人员经费支出666.11万元，主要包括：基本工资、津贴补贴、奖金、绩效工资、机关事业单位基本养老保险缴费、职业年金缴费、职工基本医疗保险缴费、公务员医疗补助缴费、其他社会保障缴费、住房公积金、退休费、生活补助、医疗费补助。</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公用经费支出50.38万元，主要包括：办公费、水费、电费、邮电费、取暖费、差旅费、维修（护）费、培训费、公务接待费、工会经费、福利费、公务用车运行维护费、其他商品和服务支出。</w:t>
      </w:r>
    </w:p>
    <w:p>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（二）项目支出</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2024年一般公共预算项目支出390.00万元，比2023年预算减少5.00万元，下降1.27%，下降的主要原因预算项目减少。</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经济社会发展项目2个，主要是教育科技创新专项、校园政治思想宣传工作经费。</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保障运转经费0个。</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其他项目2个，主要是特殊教育补助、学校德智体美劳发展经费。</w:t>
      </w:r>
    </w:p>
    <w:p>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（三）支出功能分类说明</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1、教育支出（类）教育管理事务（款）其他教育管理事务支出（项）：2024年预算数为558.96万元，较2023年预算减少396.81万元，下降41.52%，主要原因在职职工人数减少、预算项目《教育年鉴》编纂经费减少。</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2、教育支出（类）普通教育（款）其他普通教育支出（项）：2024年预算数为50.00万元，较2023年预算增加50.00万元，增长100.00%，增长的主要原因新增预算项目学校德智体美劳发展经费50万元。</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3、科学技术支出（类）科技条件与服务（款）技术创新服务体系（项）：2024年预算数为300.00万元，较2023年预算增加300.00万元，增长100.00%，增长的主要原因调整预算项目科技创新专项资金一般公共预算支出功能分类科目。</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4、社会保障和就业支出（类）行政事业单位养老支出（款）事业单位离退休（项）：2024年预算数为6.40万元，较2023年预算增加0.40万元，增长6.67%，增长的主要原因在职转退休职工人数增加了3个人</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5、社会保障和就业支出（类）行政事业单位养老支出（款）机关事业单位基本养老保险缴费支出（项）：2024年预算数为59.32万元，较2023年预算减少4.81万元，下降7.50%，主要原因在职职工人数减少（其中在职转退休3人，调出2人，辞职1人）。</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6、社会保障和就业支出（类）行政事业单位养老支出（款）机关事业单位职业年金缴费支出（项）：2024年预算数为29.66万元，较2023年预算减少2.41万元，下降7.51%，主要原因在职职工人数减少（其中在职转退休3人，调出2人，辞职1人）。</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7、社会保障和就业支出（类）其他社会保障和就业支出（款）其他社会保障和就业支出（项）：2024年预算数为0.74万元，较2023年预算减少0.06万元，下降7.50%，主要原因在职职工人数减少（其中在职转退休3人，调出2人，辞职1人）。</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8、卫生健康支出（类）行政事业单位医疗（款）事业单位医疗（项）：2024年预算数为34.80万元，较2023年预算减少2.52万元，下降6.75%，主要原因在职职工人数减少（其中在职转退休3人，调出2人，辞职1人）。</w:t>
      </w:r>
      <w:r>
        <w:rPr>
          <w:rFonts w:hint="eastAsia" w:ascii="仿宋" w:hAnsi="微软雅黑" w:eastAsia="仿宋"/>
          <w:sz w:val="28"/>
          <w:szCs w:val="28"/>
        </w:rPr>
        <w:tab/>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9、卫生健康支出（类）行政事业单位医疗（款）公务员医疗补助（项）：2024年预算数为14.83万元，较2023年预算减少3.21万元，下降17.79%，主要原因在职职工人数减少（其中在职转退休3人，调出2人，辞职1人）。</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10、住房保障支出（类）住房改革支出（款）住房公积金（项）：2024年预算数为51.78万元，较2023年预算减少3.70万元，下降6.67%，主要原因在职职工人数减少（其中在职转退休3人，调出2人，辞职1人）。</w:t>
      </w:r>
    </w:p>
    <w:p>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五、单位一般公共预算财政拨款“三公”经费、培训费、会议费等情况</w:t>
      </w:r>
    </w:p>
    <w:p>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（一）“三公”经费情况说明</w:t>
      </w:r>
    </w:p>
    <w:p>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“三公”经费预算5.42万元，较2023年预算减少0.44万元。</w:t>
      </w:r>
    </w:p>
    <w:p>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1．因公出国（境）费用0.00万元，与2023年预算持平，主要原因我单位无因公出国（境）费用的相关业务，故未发生相应的支出。</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2．公务接待费0.48万元，较2023年预算减少0.04万元，下降7.69%，下降的主要原因我单位坚决落实过紧日子要求，从严控制公务接待的批次和人数。</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3．公务用车购置及运行维护费4.94万元（其中：公务用车购置0.00万元，公务用车运行维护费4.94万元），较2023年预算减少0.40万元，下降7.49%，下降的主要原因我单位坚决落实过紧日子要求，从严控制公务用车相关支出。</w:t>
      </w:r>
    </w:p>
    <w:p>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（二）培训费预算情况说明</w:t>
      </w:r>
    </w:p>
    <w:p>
      <w:pPr>
        <w:widowControl/>
        <w:spacing w:line="560" w:lineRule="exact"/>
        <w:ind w:firstLine="560" w:firstLineChars="200"/>
        <w:jc w:val="left"/>
        <w:rPr>
          <w:rFonts w:ascii="仿宋" w:eastAsia="仿宋"/>
          <w:sz w:val="28"/>
          <w:szCs w:val="28"/>
        </w:rPr>
      </w:pPr>
      <w:r>
        <w:rPr>
          <w:rFonts w:hint="eastAsia" w:ascii="仿宋" w:hAnsi="微软雅黑" w:eastAsia="仿宋"/>
          <w:sz w:val="28"/>
          <w:szCs w:val="28"/>
        </w:rPr>
        <w:t>4．培训费2.53万元，较2023年预算增加0.53万元，增长26.50%，增加的主要原因我单位财政预算项目业务活动培训费增加。</w:t>
      </w:r>
    </w:p>
    <w:p>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（三）会议费预算情况说明</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5．会议费8.00万元，较2023年预算减少38.00万元，下降82.61%，下降的主要原因我单位坚决落实过紧日子要求，从严控制会议的数量、时间和规模。</w:t>
      </w:r>
    </w:p>
    <w:tbl>
      <w:tblPr>
        <w:tblStyle w:val="8"/>
        <w:tblW w:w="9639" w:type="dxa"/>
        <w:tblInd w:w="0" w:type="dxa"/>
        <w:tblLayout w:type="fixed"/>
        <w:tblCellMar>
          <w:top w:w="0" w:type="dxa"/>
          <w:left w:w="108" w:type="dxa"/>
          <w:bottom w:w="0" w:type="dxa"/>
          <w:right w:w="108" w:type="dxa"/>
        </w:tblCellMar>
      </w:tblPr>
      <w:tblGrid>
        <w:gridCol w:w="9639"/>
      </w:tblGrid>
      <w:tr>
        <w:tblPrEx>
          <w:tblLayout w:type="fixed"/>
          <w:tblCellMar>
            <w:top w:w="0" w:type="dxa"/>
            <w:left w:w="108" w:type="dxa"/>
            <w:bottom w:w="0" w:type="dxa"/>
            <w:right w:w="108" w:type="dxa"/>
          </w:tblCellMar>
        </w:tblPrEx>
        <w:trPr>
          <w:trHeight w:val="8505" w:hRule="atLeast"/>
        </w:trPr>
        <w:tc>
          <w:tcPr>
            <w:tcW w:w="9639" w:type="dxa"/>
            <w:shd w:val="clear" w:color="auto" w:fill="auto"/>
          </w:tcPr>
          <w:p>
            <w:pPr>
              <w:jc w:val="center"/>
              <w:rPr>
                <w:rFonts w:ascii="微软雅黑" w:hAnsi="微软雅黑" w:eastAsia="微软雅黑"/>
                <w:b/>
              </w:rPr>
            </w:pPr>
            <w:r>
              <w:rPr>
                <w:rFonts w:hint="eastAsia" w:ascii="微软雅黑" w:hAnsi="微软雅黑" w:eastAsia="微软雅黑"/>
                <w:b/>
                <w:sz w:val="28"/>
                <w:szCs w:val="28"/>
              </w:rPr>
              <w:t>图3、“三公”经费、培训费、会议费支出预算构成</w:t>
            </w:r>
          </w:p>
          <w:p>
            <w:pPr>
              <w:jc w:val="center"/>
            </w:pPr>
            <w:r>
              <w:drawing>
                <wp:inline distT="0" distB="0" distL="0" distR="0">
                  <wp:extent cx="142240" cy="142240"/>
                  <wp:effectExtent l="19050" t="0" r="0" b="0"/>
                  <wp:docPr id="10" name="图片 10"/>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rrowheads="1"/>
                          </pic:cNvPicPr>
                        </pic:nvPicPr>
                        <pic:blipFill>
                          <a:blip r:embed="rId6" cstate="print"/>
                          <a:srcRect/>
                          <a:stretch>
                            <a:fillRect/>
                          </a:stretch>
                        </pic:blipFill>
                        <pic:spPr>
                          <a:xfrm>
                            <a:off x="0" y="0"/>
                            <a:ext cx="142240" cy="142240"/>
                          </a:xfrm>
                          <a:prstGeom prst="rect">
                            <a:avLst/>
                          </a:prstGeom>
                          <a:noFill/>
                          <a:ln w="9525">
                            <a:noFill/>
                            <a:miter lim="800000"/>
                            <a:headEnd/>
                            <a:tailEnd/>
                          </a:ln>
                        </pic:spPr>
                      </pic:pic>
                    </a:graphicData>
                  </a:graphic>
                </wp:inline>
              </w:drawing>
            </w:r>
            <w:r>
              <w:rPr>
                <w:rFonts w:hint="eastAsia" w:ascii="微软雅黑" w:hAnsi="微软雅黑" w:eastAsia="微软雅黑"/>
                <w:b/>
                <w:sz w:val="18"/>
                <w:szCs w:val="18"/>
              </w:rPr>
              <w:t xml:space="preserve">会议费  </w:t>
            </w:r>
            <w:r>
              <w:drawing>
                <wp:inline distT="0" distB="0" distL="0" distR="0">
                  <wp:extent cx="142240" cy="142240"/>
                  <wp:effectExtent l="19050" t="0" r="0" b="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rrowheads="1"/>
                          </pic:cNvPicPr>
                        </pic:nvPicPr>
                        <pic:blipFill>
                          <a:blip r:embed="rId7" cstate="print"/>
                          <a:srcRect/>
                          <a:stretch>
                            <a:fillRect/>
                          </a:stretch>
                        </pic:blipFill>
                        <pic:spPr>
                          <a:xfrm>
                            <a:off x="0" y="0"/>
                            <a:ext cx="142240" cy="142240"/>
                          </a:xfrm>
                          <a:prstGeom prst="rect">
                            <a:avLst/>
                          </a:prstGeom>
                          <a:noFill/>
                          <a:ln w="9525">
                            <a:noFill/>
                            <a:miter lim="800000"/>
                            <a:headEnd/>
                            <a:tailEnd/>
                          </a:ln>
                        </pic:spPr>
                      </pic:pic>
                    </a:graphicData>
                  </a:graphic>
                </wp:inline>
              </w:drawing>
            </w:r>
            <w:r>
              <w:rPr>
                <w:rFonts w:hint="eastAsia" w:ascii="微软雅黑" w:hAnsi="微软雅黑" w:eastAsia="微软雅黑"/>
                <w:b/>
                <w:sz w:val="18"/>
                <w:szCs w:val="18"/>
              </w:rPr>
              <w:t xml:space="preserve">培训费  </w:t>
            </w:r>
          </w:p>
          <w:p>
            <w:pPr>
              <w:jc w:val="center"/>
            </w:pPr>
            <w:r>
              <w:drawing>
                <wp:inline distT="0" distB="0" distL="0" distR="0">
                  <wp:extent cx="142240" cy="142240"/>
                  <wp:effectExtent l="19050" t="0" r="0" b="0"/>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rrowheads="1"/>
                          </pic:cNvPicPr>
                        </pic:nvPicPr>
                        <pic:blipFill>
                          <a:blip r:embed="rId8" cstate="print"/>
                          <a:srcRect/>
                          <a:stretch>
                            <a:fillRect/>
                          </a:stretch>
                        </pic:blipFill>
                        <pic:spPr>
                          <a:xfrm>
                            <a:off x="0" y="0"/>
                            <a:ext cx="142240" cy="142240"/>
                          </a:xfrm>
                          <a:prstGeom prst="rect">
                            <a:avLst/>
                          </a:prstGeom>
                          <a:noFill/>
                          <a:ln w="9525">
                            <a:noFill/>
                            <a:miter lim="800000"/>
                            <a:headEnd/>
                            <a:tailEnd/>
                          </a:ln>
                        </pic:spPr>
                      </pic:pic>
                    </a:graphicData>
                  </a:graphic>
                </wp:inline>
              </w:drawing>
            </w:r>
            <w:r>
              <w:rPr>
                <w:rFonts w:hint="eastAsia" w:ascii="微软雅黑" w:hAnsi="微软雅黑" w:eastAsia="微软雅黑"/>
                <w:b/>
                <w:sz w:val="18"/>
                <w:szCs w:val="18"/>
              </w:rPr>
              <w:t xml:space="preserve">因公出国（境）费用  </w:t>
            </w:r>
            <w:r>
              <w:drawing>
                <wp:inline distT="0" distB="0" distL="0" distR="0">
                  <wp:extent cx="142240" cy="142240"/>
                  <wp:effectExtent l="19050" t="0" r="0" b="0"/>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rrowheads="1"/>
                          </pic:cNvPicPr>
                        </pic:nvPicPr>
                        <pic:blipFill>
                          <a:blip r:embed="rId9" cstate="print"/>
                          <a:srcRect/>
                          <a:stretch>
                            <a:fillRect/>
                          </a:stretch>
                        </pic:blipFill>
                        <pic:spPr>
                          <a:xfrm>
                            <a:off x="0" y="0"/>
                            <a:ext cx="142240" cy="142240"/>
                          </a:xfrm>
                          <a:prstGeom prst="rect">
                            <a:avLst/>
                          </a:prstGeom>
                          <a:noFill/>
                          <a:ln w="9525">
                            <a:noFill/>
                            <a:miter lim="800000"/>
                            <a:headEnd/>
                            <a:tailEnd/>
                          </a:ln>
                        </pic:spPr>
                      </pic:pic>
                    </a:graphicData>
                  </a:graphic>
                </wp:inline>
              </w:drawing>
            </w:r>
            <w:r>
              <w:rPr>
                <w:rFonts w:hint="eastAsia" w:ascii="微软雅黑" w:hAnsi="微软雅黑" w:eastAsia="微软雅黑"/>
                <w:b/>
                <w:sz w:val="18"/>
                <w:szCs w:val="18"/>
              </w:rPr>
              <w:t xml:space="preserve">公务接待费  </w:t>
            </w:r>
            <w:r>
              <w:drawing>
                <wp:inline distT="0" distB="0" distL="0" distR="0">
                  <wp:extent cx="142240" cy="142240"/>
                  <wp:effectExtent l="19050" t="0" r="0" b="0"/>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rrowheads="1"/>
                          </pic:cNvPicPr>
                        </pic:nvPicPr>
                        <pic:blipFill>
                          <a:blip r:embed="rId11" cstate="print"/>
                          <a:srcRect/>
                          <a:stretch>
                            <a:fillRect/>
                          </a:stretch>
                        </pic:blipFill>
                        <pic:spPr>
                          <a:xfrm>
                            <a:off x="0" y="0"/>
                            <a:ext cx="142240" cy="142240"/>
                          </a:xfrm>
                          <a:prstGeom prst="rect">
                            <a:avLst/>
                          </a:prstGeom>
                          <a:noFill/>
                          <a:ln w="9525">
                            <a:noFill/>
                            <a:miter lim="800000"/>
                            <a:headEnd/>
                            <a:tailEnd/>
                          </a:ln>
                        </pic:spPr>
                      </pic:pic>
                    </a:graphicData>
                  </a:graphic>
                </wp:inline>
              </w:drawing>
            </w:r>
            <w:r>
              <w:rPr>
                <w:rFonts w:hint="eastAsia" w:ascii="微软雅黑" w:hAnsi="微软雅黑" w:eastAsia="微软雅黑"/>
                <w:b/>
                <w:sz w:val="18"/>
                <w:szCs w:val="18"/>
              </w:rPr>
              <w:t xml:space="preserve">公务用车运行维护费  </w:t>
            </w:r>
            <w:r>
              <w:drawing>
                <wp:inline distT="0" distB="0" distL="0" distR="0">
                  <wp:extent cx="142240" cy="142240"/>
                  <wp:effectExtent l="19050" t="0" r="0" b="0"/>
                  <wp:docPr id="15" name="colorlegend06"/>
                  <wp:cNvGraphicFramePr/>
                  <a:graphic xmlns:a="http://schemas.openxmlformats.org/drawingml/2006/main">
                    <a:graphicData uri="http://schemas.openxmlformats.org/drawingml/2006/picture">
                      <pic:pic xmlns:pic="http://schemas.openxmlformats.org/drawingml/2006/picture">
                        <pic:nvPicPr>
                          <pic:cNvPr id="15" name="colorlegend06"/>
                          <pic:cNvPicPr>
                            <a:picLocks noChangeArrowheads="1"/>
                          </pic:cNvPicPr>
                        </pic:nvPicPr>
                        <pic:blipFill>
                          <a:blip r:embed="rId13" cstate="print"/>
                          <a:srcRect/>
                          <a:stretch>
                            <a:fillRect/>
                          </a:stretch>
                        </pic:blipFill>
                        <pic:spPr>
                          <a:xfrm>
                            <a:off x="0" y="0"/>
                            <a:ext cx="142240" cy="142240"/>
                          </a:xfrm>
                          <a:prstGeom prst="rect">
                            <a:avLst/>
                          </a:prstGeom>
                          <a:noFill/>
                          <a:ln w="9525">
                            <a:noFill/>
                            <a:miter lim="800000"/>
                            <a:headEnd/>
                            <a:tailEnd/>
                          </a:ln>
                        </pic:spPr>
                      </pic:pic>
                    </a:graphicData>
                  </a:graphic>
                </wp:inline>
              </w:drawing>
            </w:r>
            <w:r>
              <w:rPr>
                <w:rFonts w:hint="eastAsia" w:ascii="微软雅黑" w:hAnsi="微软雅黑" w:eastAsia="微软雅黑"/>
                <w:b/>
                <w:sz w:val="18"/>
                <w:szCs w:val="18"/>
              </w:rPr>
              <w:t xml:space="preserve">公务用车购置  </w:t>
            </w:r>
          </w:p>
          <w:p>
            <w:pPr>
              <w:jc w:val="center"/>
              <w:rPr>
                <w:rFonts w:ascii="微软雅黑" w:hAnsi="微软雅黑" w:eastAsia="微软雅黑"/>
                <w:b/>
              </w:rPr>
            </w:pPr>
            <w:r>
              <w:rPr>
                <w:rFonts w:ascii="微软雅黑" w:hAnsi="微软雅黑" w:eastAsia="微软雅黑"/>
                <w:b/>
              </w:rPr>
              <w:drawing>
                <wp:anchor distT="0" distB="0" distL="114300" distR="114300" simplePos="0" relativeHeight="251658240" behindDoc="0" locked="0" layoutInCell="1" allowOverlap="1">
                  <wp:simplePos x="0" y="0"/>
                  <wp:positionH relativeFrom="column">
                    <wp:posOffset>83185</wp:posOffset>
                  </wp:positionH>
                  <wp:positionV relativeFrom="paragraph">
                    <wp:posOffset>241300</wp:posOffset>
                  </wp:positionV>
                  <wp:extent cx="5715000" cy="4572000"/>
                  <wp:effectExtent l="19050" t="0" r="0" b="0"/>
                  <wp:wrapTopAndBottom/>
                  <wp:docPr id="16" name="图片 3" descr="6404"/>
                  <wp:cNvGraphicFramePr/>
                  <a:graphic xmlns:a="http://schemas.openxmlformats.org/drawingml/2006/main">
                    <a:graphicData uri="http://schemas.openxmlformats.org/drawingml/2006/picture">
                      <pic:pic xmlns:pic="http://schemas.openxmlformats.org/drawingml/2006/picture">
                        <pic:nvPicPr>
                          <pic:cNvPr id="16" name="图片 3" descr="6404"/>
                          <pic:cNvPicPr>
                            <a:picLocks noChangeArrowheads="1"/>
                          </pic:cNvPicPr>
                        </pic:nvPicPr>
                        <pic:blipFill>
                          <a:blip r:embed="rId14" cstate="print">
                            <a:clrChange>
                              <a:clrFrom>
                                <a:srgbClr val="FFFFFF"/>
                              </a:clrFrom>
                              <a:clrTo>
                                <a:srgbClr val="FFFFFF">
                                  <a:alpha val="0"/>
                                </a:srgbClr>
                              </a:clrTo>
                            </a:clrChange>
                          </a:blip>
                          <a:srcRect t="2083"/>
                          <a:stretch>
                            <a:fillRect/>
                          </a:stretch>
                        </pic:blipFill>
                        <pic:spPr>
                          <a:xfrm>
                            <a:off x="0" y="0"/>
                            <a:ext cx="5715000" cy="4572000"/>
                          </a:xfrm>
                          <a:prstGeom prst="rect">
                            <a:avLst/>
                          </a:prstGeom>
                          <a:noFill/>
                        </pic:spPr>
                      </pic:pic>
                    </a:graphicData>
                  </a:graphic>
                </wp:anchor>
              </w:drawing>
            </w:r>
          </w:p>
        </w:tc>
      </w:tr>
    </w:tbl>
    <w:p>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六、一般公共预算财政拨款机关运行经费情况</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机关运行经费0.00万元，与2023年预算持平，主要原因我单位无机关运行经费，相关表格为空表。</w:t>
      </w:r>
    </w:p>
    <w:p>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bCs/>
          <w:kern w:val="0"/>
          <w:sz w:val="28"/>
          <w:szCs w:val="28"/>
        </w:rPr>
        <w:t>七、政府采购安排情况</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2024年单位政府采购预算总额414.67万元，其中：政府采购货物预算46.17万元，政府采购工程预算0.00万元，政府采购服务预算368.50万元。</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2024年，单位面向中小企业预留政府采购项目预算金额0.00万元，小微企业预留政府采购项目预算金额0.00万元。</w:t>
      </w:r>
    </w:p>
    <w:p>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八、国有资产占用情况</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上年末固定资产金额为54.43万元。其中：办公用房0平方米，价值0万元。预算单位共有公务用车1辆，价值27.63万元。单价20万元以上的设备价值0万元。2024年拟采购固定资产约414.67万元。</w:t>
      </w:r>
    </w:p>
    <w:p>
      <w:pPr>
        <w:spacing w:line="600" w:lineRule="exact"/>
        <w:ind w:firstLine="562" w:firstLineChars="200"/>
        <w:rPr>
          <w:rFonts w:ascii="仿宋" w:eastAsia="仿宋"/>
          <w:sz w:val="28"/>
          <w:szCs w:val="28"/>
        </w:rPr>
      </w:pPr>
      <w:r>
        <w:rPr>
          <w:rFonts w:hint="eastAsia" w:ascii="仿宋" w:hAnsi="宋体" w:eastAsia="仿宋" w:cs="宋体"/>
          <w:b/>
          <w:bCs/>
          <w:kern w:val="0"/>
          <w:sz w:val="28"/>
          <w:szCs w:val="28"/>
        </w:rPr>
        <w:t>九、其他重要事项情况说明</w:t>
      </w:r>
    </w:p>
    <w:p>
      <w:pPr>
        <w:spacing w:line="600" w:lineRule="exact"/>
        <w:ind w:firstLine="562" w:firstLineChars="200"/>
        <w:rPr>
          <w:rFonts w:ascii="仿宋" w:hAnsi="宋体" w:eastAsia="仿宋" w:cs="宋体"/>
          <w:kern w:val="0"/>
          <w:sz w:val="28"/>
          <w:szCs w:val="28"/>
        </w:rPr>
      </w:pPr>
      <w:r>
        <w:rPr>
          <w:rFonts w:hint="eastAsia" w:ascii="仿宋" w:hAnsi="宋体" w:eastAsia="仿宋" w:cs="宋体"/>
          <w:b/>
          <w:bCs/>
          <w:kern w:val="0"/>
          <w:sz w:val="28"/>
          <w:szCs w:val="28"/>
        </w:rPr>
        <w:t>（一）政府性基金预算支出情况</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未安排预算，政府性基金预算支出情况表为空表。</w:t>
      </w:r>
    </w:p>
    <w:p>
      <w:pPr>
        <w:spacing w:line="600" w:lineRule="exact"/>
        <w:ind w:firstLine="562" w:firstLineChars="200"/>
        <w:rPr>
          <w:rFonts w:ascii="仿宋" w:hAnsi="宋体" w:eastAsia="仿宋" w:cs="宋体"/>
          <w:kern w:val="0"/>
          <w:sz w:val="28"/>
          <w:szCs w:val="28"/>
        </w:rPr>
      </w:pPr>
      <w:r>
        <w:rPr>
          <w:rFonts w:hint="eastAsia" w:ascii="仿宋" w:hAnsi="宋体" w:eastAsia="仿宋" w:cs="宋体"/>
          <w:b/>
          <w:bCs/>
          <w:kern w:val="0"/>
          <w:sz w:val="28"/>
          <w:szCs w:val="28"/>
        </w:rPr>
        <w:t>（二）非税收入情况</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2024年本单位不涉及非税收入，2024年计划征收0万元。</w:t>
      </w:r>
    </w:p>
    <w:p>
      <w:pPr>
        <w:spacing w:line="600" w:lineRule="exact"/>
        <w:ind w:firstLine="562" w:firstLineChars="200"/>
        <w:rPr>
          <w:rFonts w:ascii="仿宋" w:hAnsi="宋体" w:eastAsia="仿宋" w:cs="宋体"/>
          <w:b/>
          <w:bCs/>
          <w:color w:val="000000"/>
          <w:kern w:val="0"/>
          <w:sz w:val="28"/>
          <w:szCs w:val="28"/>
        </w:rPr>
      </w:pPr>
      <w:r>
        <w:rPr>
          <w:rFonts w:hint="eastAsia" w:ascii="仿宋" w:hAnsi="宋体" w:eastAsia="仿宋" w:cs="宋体"/>
          <w:b/>
          <w:bCs/>
          <w:color w:val="000000"/>
          <w:kern w:val="0"/>
          <w:sz w:val="28"/>
          <w:szCs w:val="28"/>
        </w:rPr>
        <w:t>（三）重点项目情况</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项目名称：教育科技创新专项</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1、项目概况：教育科技创新专项为2024年甘肃省教育科学“十四五”规划课题立项、课题结项及2024年度甘肃省教育科研成果培育项目工作。</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2、立项依据：《教育部关于加强新时代教育科学研究工作的意见》（教政法[2019]16号）、《全国教育科学规划课题管理办法》。</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3、实施主体：该项目由甘肃省教育厅管理，实施主体为本单位。</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4、实施周期：教育科技创新专项项目为经常性项目。</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5、实施计划：组织开展2024年度甘肃省教育科学“十四五”规划课题立项工作；组织开展2024年度甘肃省教育科学“十四五”规划课题结项工作；组织开展2024年度甘肃省教育科研成果培育项目工作；组织开展2024年度全国教育科学规划课题立项省级评审推荐工作。</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6、年度预算安排：2024年省级预算安排教育科技创新专项经费300万元。</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7、预期总体目标：完成2024年甘肃省教育科学“十四五”规划课题立项、课题结项及2024年度甘肃省教育科研成果培育项目工作。</w:t>
      </w:r>
    </w:p>
    <w:p>
      <w:pPr>
        <w:widowControl/>
        <w:spacing w:line="560" w:lineRule="exact"/>
        <w:jc w:val="left"/>
        <w:rPr>
          <w:rFonts w:ascii="仿宋" w:hAnsi="宋体" w:eastAsia="仿宋" w:cs="宋体"/>
          <w:color w:val="000000"/>
          <w:kern w:val="0"/>
          <w:sz w:val="28"/>
          <w:szCs w:val="28"/>
        </w:rPr>
      </w:pPr>
      <w:r>
        <w:rPr>
          <w:rFonts w:hint="eastAsia" w:ascii="仿宋" w:hAnsi="微软雅黑" w:eastAsia="仿宋"/>
          <w:sz w:val="28"/>
          <w:szCs w:val="28"/>
        </w:rPr>
        <w:t xml:space="preserve"> </w:t>
      </w:r>
      <w:r>
        <w:rPr>
          <w:rFonts w:hint="eastAsia" w:ascii="仿宋" w:hAnsi="微软雅黑" w:eastAsia="仿宋"/>
          <w:sz w:val="28"/>
          <w:szCs w:val="28"/>
        </w:rPr>
        <w:tab/>
      </w:r>
      <w:r>
        <w:rPr>
          <w:rFonts w:hint="eastAsia" w:ascii="仿宋" w:hAnsi="微软雅黑" w:eastAsia="仿宋"/>
          <w:sz w:val="28"/>
          <w:szCs w:val="28"/>
        </w:rPr>
        <w:t xml:space="preserve">  </w:t>
      </w:r>
      <w:r>
        <w:rPr>
          <w:rFonts w:hint="eastAsia" w:ascii="仿宋" w:hAnsi="宋体" w:eastAsia="仿宋" w:cs="宋体"/>
          <w:b/>
          <w:bCs/>
          <w:color w:val="000000"/>
          <w:kern w:val="0"/>
          <w:sz w:val="28"/>
          <w:szCs w:val="28"/>
        </w:rPr>
        <w:t>（四）单位管理转移支付情况</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未安排预算，部门管理转移支付表为空表。</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1．一般性转移支付未安排。</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2．专项转移支付未安排。</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3．政府性基金转移支付未安排。</w:t>
      </w:r>
    </w:p>
    <w:p>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bCs/>
          <w:color w:val="000000"/>
          <w:kern w:val="0"/>
          <w:sz w:val="28"/>
          <w:szCs w:val="28"/>
        </w:rPr>
        <w:t>（五）国有资本经营预算支出情况</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未安排预算，国有资本经营预算支出情况表为空表。</w:t>
      </w:r>
    </w:p>
    <w:p>
      <w:pPr>
        <w:spacing w:line="600" w:lineRule="exact"/>
        <w:ind w:firstLine="562" w:firstLineChars="200"/>
        <w:rPr>
          <w:rFonts w:ascii="仿宋" w:hAnsi="宋体" w:eastAsia="仿宋" w:cs="宋体"/>
          <w:b/>
          <w:kern w:val="0"/>
          <w:sz w:val="28"/>
          <w:szCs w:val="28"/>
        </w:rPr>
      </w:pPr>
      <w:r>
        <w:rPr>
          <w:rFonts w:hint="eastAsia" w:ascii="仿宋" w:hAnsi="宋体" w:eastAsia="仿宋" w:cs="宋体"/>
          <w:b/>
          <w:kern w:val="0"/>
          <w:sz w:val="28"/>
          <w:szCs w:val="28"/>
        </w:rPr>
        <w:t>十、预算绩效管理情况</w:t>
      </w:r>
    </w:p>
    <w:p>
      <w:pPr>
        <w:widowControl/>
        <w:spacing w:line="560" w:lineRule="exact"/>
        <w:ind w:firstLine="562" w:firstLineChars="200"/>
        <w:jc w:val="left"/>
        <w:rPr>
          <w:rFonts w:ascii="楷体" w:hAnsi="微软雅黑" w:eastAsia="楷体"/>
          <w:sz w:val="28"/>
          <w:szCs w:val="28"/>
        </w:rPr>
      </w:pPr>
      <w:r>
        <w:rPr>
          <w:rFonts w:hint="eastAsia" w:ascii="楷体" w:hAnsi="宋体" w:eastAsia="楷体" w:cs="宋体"/>
          <w:b/>
          <w:bCs/>
          <w:color w:val="000000"/>
          <w:kern w:val="0"/>
          <w:sz w:val="28"/>
          <w:szCs w:val="28"/>
        </w:rPr>
        <w:t>（一）2023年预算绩效管理工作情况</w:t>
      </w:r>
    </w:p>
    <w:p>
      <w:pPr>
        <w:widowControl/>
        <w:spacing w:line="560" w:lineRule="exact"/>
        <w:ind w:firstLine="560" w:firstLineChars="200"/>
        <w:jc w:val="left"/>
        <w:rPr>
          <w:rFonts w:ascii="仿宋" w:hAnsi="微软雅黑" w:eastAsia="仿宋"/>
          <w:sz w:val="28"/>
          <w:szCs w:val="28"/>
        </w:rPr>
      </w:pPr>
      <w:r>
        <w:rPr>
          <w:rFonts w:hint="eastAsia" w:ascii="仿宋" w:hAnsi="微软雅黑" w:eastAsia="仿宋"/>
          <w:sz w:val="28"/>
          <w:szCs w:val="28"/>
        </w:rPr>
        <w:t>按照《中共中央 国务院关于全面实施预算绩效管理的意见》《中共甘肃省委 甘肃省人民政府关于全面实施预算绩效管理的实施意见》等相关要求，我们将绩效理念和方法融入预算编制、执行、决算和监督全过程认真开展各项工作。</w:t>
      </w:r>
    </w:p>
    <w:p>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bCs/>
          <w:color w:val="000000"/>
          <w:kern w:val="0"/>
          <w:sz w:val="28"/>
          <w:szCs w:val="28"/>
        </w:rPr>
        <w:t>1.绩效目标管理情况。</w:t>
      </w:r>
      <w:r>
        <w:rPr>
          <w:rFonts w:hint="eastAsia" w:ascii="仿宋" w:hAnsi="微软雅黑" w:eastAsia="仿宋"/>
          <w:sz w:val="28"/>
          <w:szCs w:val="28"/>
        </w:rPr>
        <w:t>2023年度，按照“谁申请资金，谁设置目标”的原则，纳入单位预算管理的单位整体支出和项目绩效目标4个，按规定随年度预算一并公开项目4个，公开率为100%。2023年省教科院根据财政预算绩效管理要求，认真组织开展上年度一般公共预算项目支出绩效评价，自评项目4个，涉及财政资金395万元。从绩效评价情况看，项目总体立项规范、绩效目标明确、预算编制合理、资金到位及时、预算执行率较高；项目实施单位建立了相应的业务、财务监控措施，有效保障了资金使用安全、项目管理规范。通过项目实施，在教育教学、人才培养、科学研究、社会服务等方面发挥了积极作用。</w:t>
      </w:r>
    </w:p>
    <w:p>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bCs/>
          <w:color w:val="000000"/>
          <w:kern w:val="0"/>
          <w:sz w:val="28"/>
          <w:szCs w:val="28"/>
        </w:rPr>
        <w:t>2.绩效运行监控情况。</w:t>
      </w:r>
      <w:r>
        <w:rPr>
          <w:rFonts w:hint="eastAsia" w:ascii="仿宋" w:hAnsi="微软雅黑" w:eastAsia="仿宋"/>
          <w:sz w:val="28"/>
          <w:szCs w:val="28"/>
        </w:rPr>
        <w:t>2023年7月，组织开展1－6月绩效运行监控项目4个，占本单位项目的100%。截至7月底，如期完成预算执行和绩效目标指标值的项目0个，完成率为0%。“双监控”发现存在的问题和主要原因是：部分项目资金支付率较低，主要是部分项目按计划于下半年实施，如教育科技创新专项</w:t>
      </w:r>
    </w:p>
    <w:p>
      <w:pPr>
        <w:widowControl/>
        <w:spacing w:line="560" w:lineRule="exact"/>
        <w:jc w:val="left"/>
        <w:rPr>
          <w:rFonts w:ascii="仿宋" w:hAnsi="微软雅黑" w:eastAsia="仿宋"/>
          <w:sz w:val="28"/>
          <w:szCs w:val="28"/>
        </w:rPr>
      </w:pPr>
      <w:r>
        <w:rPr>
          <w:rFonts w:hint="eastAsia" w:ascii="仿宋" w:hAnsi="微软雅黑" w:eastAsia="仿宋"/>
          <w:sz w:val="28"/>
          <w:szCs w:val="28"/>
        </w:rPr>
        <w:t>等。开展1－9月绩效运行监控项目4个，占本单位项目的100%。截至10月底，如期完成预算执行和绩效目标指标值的项目0个，完成率为0%。“双监控”发现存在的问题和主要原因是：各项目未偏离总体绩效目标，将进一步加强项目资金绩效监控，加快项目支付进度监办力度，确保项目年末支付完成。绩效运行监控在单位内部通报整改情况：截至2023年12月如期完成预算执行和绩效目标指标值的项目3个，完成率为100%。我单位将不断细化年初预算、完善管理制度、召开专项工作会议、确保各预算项目支付完成。</w:t>
      </w:r>
      <w:r>
        <w:rPr>
          <w:rFonts w:hint="eastAsia" w:ascii="仿宋" w:hAnsi="微软雅黑" w:eastAsia="仿宋"/>
          <w:sz w:val="28"/>
          <w:szCs w:val="28"/>
        </w:rPr>
        <w:tab/>
      </w:r>
      <w:r>
        <w:rPr>
          <w:rFonts w:hint="eastAsia" w:ascii="仿宋" w:hAnsi="微软雅黑" w:eastAsia="仿宋"/>
          <w:sz w:val="28"/>
          <w:szCs w:val="28"/>
        </w:rPr>
        <w:t xml:space="preserve">   </w:t>
      </w:r>
      <w:r>
        <w:rPr>
          <w:rFonts w:hint="eastAsia" w:ascii="仿宋" w:hAnsi="微软雅黑" w:eastAsia="仿宋"/>
          <w:sz w:val="28"/>
          <w:szCs w:val="28"/>
        </w:rPr>
        <w:tab/>
      </w:r>
      <w:r>
        <w:rPr>
          <w:rFonts w:hint="eastAsia" w:ascii="仿宋" w:hAnsi="微软雅黑" w:eastAsia="仿宋"/>
          <w:sz w:val="28"/>
          <w:szCs w:val="28"/>
        </w:rPr>
        <w:t xml:space="preserve">   </w:t>
      </w:r>
      <w:r>
        <w:rPr>
          <w:rFonts w:hint="eastAsia" w:ascii="仿宋" w:hAnsi="微软雅黑" w:eastAsia="仿宋"/>
          <w:sz w:val="28"/>
          <w:szCs w:val="28"/>
        </w:rPr>
        <w:tab/>
      </w:r>
      <w:r>
        <w:rPr>
          <w:rFonts w:hint="eastAsia" w:ascii="仿宋" w:hAnsi="微软雅黑" w:eastAsia="仿宋"/>
          <w:sz w:val="28"/>
          <w:szCs w:val="28"/>
        </w:rPr>
        <w:tab/>
      </w:r>
    </w:p>
    <w:p>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bCs/>
          <w:color w:val="000000"/>
          <w:kern w:val="0"/>
          <w:sz w:val="28"/>
          <w:szCs w:val="28"/>
        </w:rPr>
        <w:t>3.绩效自评开展情况。</w:t>
      </w:r>
      <w:r>
        <w:rPr>
          <w:rFonts w:hint="eastAsia" w:ascii="仿宋" w:hAnsi="微软雅黑" w:eastAsia="仿宋"/>
          <w:sz w:val="28"/>
          <w:szCs w:val="28"/>
        </w:rPr>
        <w:t>2023年度，组织开展绩效自评项目共5个，其中，单位整体支出1个，项目支出4个，转移支付项目0个，绩效自评覆盖率为100%。绩效自评结果随单位决算报送财政和随决算公开情况：按规定财政批复后，及时在单位门户网站随部门决算一并公开。</w:t>
      </w:r>
      <w:r>
        <w:rPr>
          <w:rFonts w:hint="eastAsia" w:ascii="仿宋" w:hAnsi="微软雅黑" w:eastAsia="仿宋"/>
          <w:sz w:val="28"/>
          <w:szCs w:val="28"/>
        </w:rPr>
        <w:tab/>
      </w:r>
      <w:r>
        <w:rPr>
          <w:rFonts w:hint="eastAsia" w:ascii="仿宋" w:hAnsi="微软雅黑" w:eastAsia="仿宋"/>
          <w:sz w:val="28"/>
          <w:szCs w:val="28"/>
        </w:rPr>
        <w:t xml:space="preserve">   </w:t>
      </w:r>
    </w:p>
    <w:p>
      <w:pPr>
        <w:widowControl/>
        <w:spacing w:line="560" w:lineRule="exact"/>
        <w:ind w:firstLine="562" w:firstLineChars="200"/>
        <w:jc w:val="left"/>
        <w:rPr>
          <w:rFonts w:ascii="仿宋" w:hAnsi="微软雅黑" w:eastAsia="仿宋"/>
          <w:sz w:val="28"/>
          <w:szCs w:val="28"/>
        </w:rPr>
      </w:pPr>
      <w:r>
        <w:rPr>
          <w:rFonts w:hint="eastAsia" w:ascii="仿宋" w:hAnsi="宋体" w:eastAsia="仿宋" w:cs="宋体"/>
          <w:b/>
          <w:bCs/>
          <w:color w:val="000000"/>
          <w:kern w:val="0"/>
          <w:sz w:val="28"/>
          <w:szCs w:val="28"/>
        </w:rPr>
        <w:t>4.绩效结果应用情况。</w:t>
      </w:r>
      <w:r>
        <w:rPr>
          <w:rFonts w:hint="eastAsia" w:ascii="仿宋" w:hAnsi="微软雅黑" w:eastAsia="仿宋"/>
          <w:sz w:val="28"/>
          <w:szCs w:val="28"/>
        </w:rPr>
        <w:t>根据2023 年度绩效运行监控、绩效自评等情况，当年盘活财政资金352.55 万元，2024年度减少部门预算项目 1 个，压减预算额度的项目2 个，压减率分别为 71%、16.6%。</w:t>
      </w:r>
    </w:p>
    <w:p>
      <w:pPr>
        <w:spacing w:line="600" w:lineRule="exact"/>
        <w:ind w:firstLine="562" w:firstLineChars="200"/>
        <w:rPr>
          <w:rFonts w:ascii="仿宋" w:hAnsi="宋体" w:eastAsia="仿宋" w:cs="宋体"/>
          <w:color w:val="000000"/>
          <w:kern w:val="0"/>
          <w:sz w:val="28"/>
          <w:szCs w:val="28"/>
        </w:rPr>
      </w:pPr>
      <w:r>
        <w:rPr>
          <w:rFonts w:hint="eastAsia" w:ascii="仿宋" w:hAnsi="宋体" w:eastAsia="仿宋" w:cs="宋体"/>
          <w:b/>
          <w:bCs/>
          <w:color w:val="000000"/>
          <w:kern w:val="0"/>
          <w:sz w:val="28"/>
          <w:szCs w:val="28"/>
        </w:rPr>
        <w:t>（二）2024年绩效目标编制情况</w:t>
      </w:r>
    </w:p>
    <w:p>
      <w:pPr>
        <w:widowControl/>
        <w:spacing w:line="560" w:lineRule="exact"/>
        <w:ind w:firstLine="560" w:firstLineChars="200"/>
        <w:jc w:val="left"/>
        <w:rPr>
          <w:rFonts w:ascii="仿宋" w:hAnsi="宋体" w:eastAsia="仿宋" w:cs="宋体"/>
          <w:b/>
          <w:kern w:val="0"/>
          <w:sz w:val="28"/>
          <w:szCs w:val="28"/>
        </w:rPr>
      </w:pPr>
      <w:r>
        <w:rPr>
          <w:rFonts w:hint="eastAsia" w:ascii="仿宋" w:hAnsi="微软雅黑" w:eastAsia="仿宋"/>
          <w:sz w:val="28"/>
          <w:szCs w:val="28"/>
        </w:rPr>
        <w:t>2024年，纳入单位预算绩效目标管理的项目4个。其中，单位整体支出绩效目标围绕单位管理、履职效果、能力建设三个维度，设置二级指标13个、三级指标24个；项目支出绩效目标围绕成本指标、产出指标、效益指标、满意度指标四个维度，设置二级指标10个、三级指标12个。各项绩效目标内容指向明确、细化量化、合理可行，符合规定的格式要求。</w:t>
      </w:r>
      <w:r>
        <w:rPr>
          <w:rFonts w:hint="eastAsia" w:ascii="仿宋" w:hAnsi="微软雅黑" w:eastAsia="仿宋"/>
          <w:sz w:val="28"/>
          <w:szCs w:val="28"/>
        </w:rPr>
        <w:tab/>
      </w:r>
      <w:r>
        <w:rPr>
          <w:rFonts w:hint="eastAsia" w:ascii="仿宋" w:hAnsi="微软雅黑" w:eastAsia="仿宋"/>
          <w:sz w:val="28"/>
          <w:szCs w:val="28"/>
        </w:rPr>
        <w:t xml:space="preserve">   </w:t>
      </w:r>
      <w:r>
        <w:rPr>
          <w:rFonts w:hint="eastAsia" w:ascii="仿宋" w:hAnsi="微软雅黑" w:eastAsia="仿宋"/>
          <w:sz w:val="28"/>
          <w:szCs w:val="28"/>
        </w:rPr>
        <w:tab/>
      </w:r>
      <w:r>
        <w:rPr>
          <w:rFonts w:hint="eastAsia" w:ascii="仿宋" w:hAnsi="微软雅黑" w:eastAsia="仿宋"/>
          <w:sz w:val="28"/>
          <w:szCs w:val="28"/>
        </w:rPr>
        <w:t xml:space="preserve">   </w:t>
      </w:r>
      <w:r>
        <w:rPr>
          <w:rFonts w:hint="eastAsia" w:ascii="仿宋" w:hAnsi="微软雅黑" w:eastAsia="仿宋"/>
          <w:sz w:val="28"/>
          <w:szCs w:val="28"/>
        </w:rPr>
        <w:tab/>
      </w:r>
      <w:r>
        <w:rPr>
          <w:rFonts w:hint="eastAsia" w:ascii="仿宋" w:hAnsi="微软雅黑" w:eastAsia="仿宋"/>
          <w:sz w:val="28"/>
          <w:szCs w:val="28"/>
        </w:rPr>
        <w:tab/>
      </w:r>
      <w:r>
        <w:rPr>
          <w:rFonts w:hint="eastAsia" w:ascii="仿宋" w:hAnsi="微软雅黑" w:eastAsia="仿宋"/>
          <w:sz w:val="28"/>
          <w:szCs w:val="28"/>
        </w:rPr>
        <w:tab/>
      </w:r>
      <w:r>
        <w:rPr>
          <w:rFonts w:hint="eastAsia" w:ascii="仿宋" w:hAnsi="微软雅黑" w:eastAsia="仿宋"/>
          <w:sz w:val="28"/>
          <w:szCs w:val="28"/>
        </w:rPr>
        <w:tab/>
      </w:r>
      <w:r>
        <w:rPr>
          <w:rFonts w:hint="eastAsia" w:ascii="仿宋" w:hAnsi="宋体" w:eastAsia="仿宋" w:cs="宋体"/>
          <w:b/>
          <w:kern w:val="0"/>
          <w:sz w:val="28"/>
          <w:szCs w:val="28"/>
        </w:rPr>
        <w:t>十一、名词解释</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1、财政拨款:</w:t>
      </w:r>
      <w:r>
        <w:rPr>
          <w:rFonts w:hint="eastAsia" w:ascii="仿宋" w:hAnsi="CIDFont+F6" w:eastAsia="仿宋"/>
          <w:color w:val="000000"/>
          <w:sz w:val="28"/>
          <w:szCs w:val="28"/>
        </w:rPr>
        <w:t>指由一般公共预算、政府性基金预算、国有资本经营预算安排的财政拨款数。</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2、一般公共预算:</w:t>
      </w:r>
      <w:r>
        <w:rPr>
          <w:rFonts w:hint="eastAsia" w:ascii="仿宋" w:hAnsi="CIDFont+F6" w:eastAsia="仿宋"/>
          <w:color w:val="000000"/>
          <w:sz w:val="28"/>
          <w:szCs w:val="28"/>
        </w:rPr>
        <w:t>包括公共财政拨款（补助）资金、专项收入。</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3、财政专户管理资金:</w:t>
      </w:r>
      <w:r>
        <w:rPr>
          <w:rFonts w:hint="eastAsia" w:ascii="仿宋" w:hAnsi="CIDFont+F6" w:eastAsia="仿宋"/>
          <w:color w:val="000000"/>
          <w:sz w:val="28"/>
          <w:szCs w:val="28"/>
        </w:rPr>
        <w:t>包括专户管理行政事业性收费（主要是教育收费）、其他非税收入。</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4、其他资金:</w:t>
      </w:r>
      <w:r>
        <w:rPr>
          <w:rFonts w:hint="eastAsia" w:ascii="仿宋" w:hAnsi="CIDFont+F6" w:eastAsia="仿宋"/>
          <w:color w:val="000000"/>
          <w:sz w:val="28"/>
          <w:szCs w:val="28"/>
        </w:rPr>
        <w:t>包括事业收入、事业经营收入、其他收入等。</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5、基本支出:</w:t>
      </w:r>
      <w:r>
        <w:rPr>
          <w:rFonts w:hint="eastAsia" w:ascii="仿宋" w:hAnsi="CIDFont+F6" w:eastAsia="仿宋"/>
          <w:color w:val="000000"/>
          <w:sz w:val="28"/>
          <w:szCs w:val="28"/>
        </w:rPr>
        <w:t>包括人员经费、公用经费（定额）。其中，人员经费包括工资福利支出、对个人和家庭的补助。</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6、项目支出:</w:t>
      </w:r>
      <w:r>
        <w:rPr>
          <w:rFonts w:hint="eastAsia" w:ascii="仿宋" w:hAnsi="CIDFont+F6" w:eastAsia="仿宋"/>
          <w:color w:val="000000"/>
          <w:sz w:val="28"/>
          <w:szCs w:val="28"/>
        </w:rPr>
        <w:t>部门（单位）支出预算的组成部分，是各部门（单位）为完成其特定的行政任务或事业发展目标，在基本支出预算之外编制的年度项目支出计划。</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7、“三公”经费:</w:t>
      </w:r>
      <w:r>
        <w:rPr>
          <w:rFonts w:hint="eastAsia" w:ascii="仿宋" w:hAnsi="CIDFont+F6" w:eastAsia="仿宋"/>
          <w:color w:val="000000"/>
          <w:sz w:val="28"/>
          <w:szCs w:val="28"/>
        </w:rPr>
        <w:t>指因公出国（境）费、公务用车购置及运行维护费和公务接待费。其中，因公出国（境）费反映单位工作人员公务出国（境）的国际旅费、国外城市间的交通费、住宿费、伙食费、培训费、公杂费等支出；公务用车运行维护费反映单位按规定保留的公务用车的燃料费、维修费、过桥过路费、保险费、安全奖励费用等支出；公务用车购置反映公务用车车辆购置支出（含车辆购置税、牌照费）；公务接待费反映单位按规定开支的各类公务接待（含外宾接待）费用。</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8、机关运行经费:</w:t>
      </w:r>
      <w:r>
        <w:rPr>
          <w:rFonts w:hint="eastAsia" w:ascii="仿宋" w:hAnsi="CIDFont+F6" w:eastAsia="仿宋"/>
          <w:color w:val="000000"/>
          <w:sz w:val="28"/>
          <w:szCs w:val="28"/>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9、教育支出（类）:</w:t>
      </w:r>
      <w:r>
        <w:rPr>
          <w:rFonts w:hint="eastAsia" w:ascii="仿宋" w:hAnsi="CIDFont+F6" w:eastAsia="仿宋"/>
          <w:color w:val="000000"/>
          <w:sz w:val="28"/>
          <w:szCs w:val="28"/>
        </w:rPr>
        <w:t>反映政府教育事务支出。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10、教育支出（类）教育管理事务（款）:</w:t>
      </w:r>
      <w:r>
        <w:rPr>
          <w:rFonts w:hint="eastAsia" w:ascii="仿宋" w:hAnsi="CIDFont+F6" w:eastAsia="仿宋"/>
          <w:color w:val="000000"/>
          <w:sz w:val="28"/>
          <w:szCs w:val="28"/>
        </w:rPr>
        <w:t>反映教育管理方面的支出。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11、教育支出（类）教育管理事务（款）其他教育管理事务支出（项）:</w:t>
      </w:r>
      <w:r>
        <w:rPr>
          <w:rFonts w:hint="eastAsia" w:ascii="仿宋" w:hAnsi="CIDFont+F6" w:eastAsia="仿宋"/>
          <w:color w:val="000000"/>
          <w:sz w:val="28"/>
          <w:szCs w:val="28"/>
        </w:rPr>
        <w:t>反映除上述项目以外其他用于教育管理事务方面的支出。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12、教育支出（类）普通教育（款）:</w:t>
      </w:r>
      <w:r>
        <w:rPr>
          <w:rFonts w:hint="eastAsia" w:ascii="仿宋" w:hAnsi="CIDFont+F6" w:eastAsia="仿宋"/>
          <w:color w:val="000000"/>
          <w:sz w:val="28"/>
          <w:szCs w:val="28"/>
        </w:rPr>
        <w:t>反映各类普通教育支出。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13、教育支出（类）普通教育（款）高等教育（项）:</w:t>
      </w:r>
      <w:r>
        <w:rPr>
          <w:rFonts w:hint="eastAsia" w:ascii="仿宋" w:hAnsi="CIDFont+F6" w:eastAsia="仿宋"/>
          <w:color w:val="000000"/>
          <w:sz w:val="28"/>
          <w:szCs w:val="28"/>
        </w:rPr>
        <w:t>反映经国家批准设立的中央和省、自治区、直辖市各部门所属的全日制普通高等院校（包括研究生）的支出。政府各部门对社会中介组织等举办的各类高等院校的资助，如捐赠、补贴等，也在本科目中反映。</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14、教育支出（类）普通教育（款）其他普通教育支出（项）:</w:t>
      </w:r>
      <w:r>
        <w:rPr>
          <w:rFonts w:hint="eastAsia" w:ascii="仿宋" w:hAnsi="CIDFont+F6" w:eastAsia="仿宋"/>
          <w:color w:val="000000"/>
          <w:sz w:val="28"/>
          <w:szCs w:val="28"/>
        </w:rPr>
        <w:t>反映除上述项目以外其他用于普通教育方面的支出。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15、教育支出（类）进修及培训（款）:</w:t>
      </w:r>
      <w:r>
        <w:rPr>
          <w:rFonts w:hint="eastAsia" w:ascii="仿宋" w:hAnsi="CIDFont+F6" w:eastAsia="仿宋"/>
          <w:color w:val="000000"/>
          <w:sz w:val="28"/>
          <w:szCs w:val="28"/>
        </w:rPr>
        <w:t>反映教师进修及干部继续教育方面的支出。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16、教育支出（类）进修及培训（款）培训支出（项）:</w:t>
      </w:r>
      <w:r>
        <w:rPr>
          <w:rFonts w:hint="eastAsia" w:ascii="仿宋" w:hAnsi="CIDFont+F6" w:eastAsia="仿宋"/>
          <w:color w:val="000000"/>
          <w:sz w:val="28"/>
          <w:szCs w:val="28"/>
        </w:rPr>
        <w:t>反映各部门安排的用于培训的支出。教育部门的师资培训，党校、行政学院等专业干部教育机构的支出，以及退役士兵、转业士官的培训支出，不在本科目反映。</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17、科学技术支出（类）:</w:t>
      </w:r>
      <w:r>
        <w:rPr>
          <w:rFonts w:hint="eastAsia" w:ascii="仿宋" w:hAnsi="CIDFont+F6" w:eastAsia="仿宋"/>
          <w:color w:val="000000"/>
          <w:sz w:val="28"/>
          <w:szCs w:val="28"/>
        </w:rPr>
        <w:t>反映科学技术方面的支出。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18、科学技术支出（类）科技条件与服务（款）:</w:t>
      </w:r>
      <w:r>
        <w:rPr>
          <w:rFonts w:hint="eastAsia" w:ascii="仿宋" w:hAnsi="CIDFont+F6" w:eastAsia="仿宋"/>
          <w:color w:val="000000"/>
          <w:sz w:val="28"/>
          <w:szCs w:val="28"/>
        </w:rPr>
        <w:t>反映用于完善科技条件及从事科技标准、计量和检测，科技数据、种质资源、标本、基因的收集、加工处理和服务，科技文献信息资源的采集、保存、加工和服务等为科技活动提供基础性、通用性服务的支出。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19、科学技术支出（类）科技条件与服务（款）技术创新服务体系（项）:</w:t>
      </w:r>
      <w:r>
        <w:rPr>
          <w:rFonts w:hint="eastAsia" w:ascii="仿宋" w:hAnsi="CIDFont+F6" w:eastAsia="仿宋"/>
          <w:color w:val="000000"/>
          <w:sz w:val="28"/>
          <w:szCs w:val="28"/>
        </w:rPr>
        <w:t>反映国家为企业提供信息、技术、培训、中介等全方位服务和支持，建立健全企业技术服务体系等方面的支出。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20、社会保障和就业支出（类）:</w:t>
      </w:r>
      <w:r>
        <w:rPr>
          <w:rFonts w:hint="eastAsia" w:ascii="仿宋" w:hAnsi="CIDFont+F6" w:eastAsia="仿宋"/>
          <w:color w:val="000000"/>
          <w:sz w:val="28"/>
          <w:szCs w:val="28"/>
        </w:rPr>
        <w:t>反映政府在社会保障与就业方面的支出。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21、社会保障和就业支出（类）行政事业单位养老支出（款）:</w:t>
      </w:r>
      <w:r>
        <w:rPr>
          <w:rFonts w:hint="eastAsia" w:ascii="仿宋" w:hAnsi="CIDFont+F6" w:eastAsia="仿宋"/>
          <w:color w:val="000000"/>
          <w:sz w:val="28"/>
          <w:szCs w:val="28"/>
        </w:rPr>
        <w:t>反映用于行政事业单位养老方面的支出。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22、社会保障和就业支出（类）行政事业单位养老支出（款）事业单位离退休（项）:</w:t>
      </w:r>
      <w:r>
        <w:rPr>
          <w:rFonts w:hint="eastAsia" w:ascii="仿宋" w:hAnsi="CIDFont+F6" w:eastAsia="仿宋"/>
          <w:color w:val="000000"/>
          <w:sz w:val="28"/>
          <w:szCs w:val="28"/>
        </w:rPr>
        <w:t>反映事业单位开支的离退休经费。</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23、社会保障和就业支出（类）行政事业单位养老支出（款）机关事业单位基本养老保险缴费支出（项）:</w:t>
      </w:r>
      <w:r>
        <w:rPr>
          <w:rFonts w:hint="eastAsia" w:ascii="仿宋" w:hAnsi="CIDFont+F6" w:eastAsia="仿宋"/>
          <w:color w:val="000000"/>
          <w:sz w:val="28"/>
          <w:szCs w:val="28"/>
        </w:rPr>
        <w:t>反映机关事业单位实施养老保险制度由单位缴纳的基本养老保险费支出。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24、社会保障和就业支出（类）行政事业单位养老支出（款）机关事业单位职业年金缴费支出（项）:</w:t>
      </w:r>
      <w:r>
        <w:rPr>
          <w:rFonts w:hint="eastAsia" w:ascii="仿宋" w:hAnsi="CIDFont+F6" w:eastAsia="仿宋"/>
          <w:color w:val="000000"/>
          <w:sz w:val="28"/>
          <w:szCs w:val="28"/>
        </w:rPr>
        <w:t>反映机关事业单位实施养老保险制度由单位实际缴纳的职业年金支出。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25、社会保障和就业支出（类）其他社会保障和就业支出（款）:</w:t>
      </w:r>
      <w:r>
        <w:rPr>
          <w:rFonts w:hint="eastAsia" w:ascii="仿宋" w:hAnsi="CIDFont+F6" w:eastAsia="仿宋"/>
          <w:color w:val="000000"/>
          <w:sz w:val="28"/>
          <w:szCs w:val="28"/>
        </w:rPr>
        <w:t>反映除上述项目以外其他用于社会保障和就业方面的支出。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26、社会保障和就业支出（类）其他社会保障和就业支出（款）其他社会保障和就业支出（项）:</w:t>
      </w:r>
      <w:r>
        <w:rPr>
          <w:rFonts w:hint="eastAsia" w:ascii="仿宋" w:hAnsi="CIDFont+F6" w:eastAsia="仿宋"/>
          <w:color w:val="000000"/>
          <w:sz w:val="28"/>
          <w:szCs w:val="28"/>
        </w:rPr>
        <w:t>反映除上述项目以外其他用于社会保障和就业方面的支出。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27、卫生健康支出（类）:</w:t>
      </w:r>
      <w:r>
        <w:rPr>
          <w:rFonts w:hint="eastAsia" w:ascii="仿宋" w:hAnsi="CIDFont+F6" w:eastAsia="仿宋"/>
          <w:color w:val="000000"/>
          <w:sz w:val="28"/>
          <w:szCs w:val="28"/>
        </w:rPr>
        <w:t>反映政府卫生健康方面的支出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28、卫生健康支出（类）行政事业单位医疗（款）:</w:t>
      </w:r>
      <w:r>
        <w:rPr>
          <w:rFonts w:hint="eastAsia" w:ascii="仿宋" w:hAnsi="CIDFont+F6" w:eastAsia="仿宋"/>
          <w:color w:val="000000"/>
          <w:sz w:val="28"/>
          <w:szCs w:val="28"/>
        </w:rPr>
        <w:t>反映行政事业单位医疗方面的支出。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29、卫生健康支出（类）行政事业单位医疗（款）事业单位医疗（项）:</w:t>
      </w:r>
      <w:r>
        <w:rPr>
          <w:rFonts w:hint="eastAsia" w:ascii="仿宋" w:hAnsi="CIDFont+F6" w:eastAsia="仿宋"/>
          <w:color w:val="000000"/>
          <w:sz w:val="28"/>
          <w:szCs w:val="28"/>
        </w:rPr>
        <w:t>反映财政部门安排的事业单位基本医疗保险缴费经费，未参加医疗保险的事业单位的公费医疗经费，按国家规定享受离休人员待遇的医疗经费。</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30、卫生健康支出（类）行政事业单位医疗（款）公务员医疗补助（项）:</w:t>
      </w:r>
      <w:r>
        <w:rPr>
          <w:rFonts w:hint="eastAsia" w:ascii="仿宋" w:hAnsi="CIDFont+F6" w:eastAsia="仿宋"/>
          <w:color w:val="000000"/>
          <w:sz w:val="28"/>
          <w:szCs w:val="28"/>
        </w:rPr>
        <w:t>反映财政部门安排的公务员医疗补助经费。</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31、住房保障支出（类）:</w:t>
      </w:r>
      <w:r>
        <w:rPr>
          <w:rFonts w:hint="eastAsia" w:ascii="仿宋" w:hAnsi="CIDFont+F6" w:eastAsia="仿宋"/>
          <w:color w:val="000000"/>
          <w:sz w:val="28"/>
          <w:szCs w:val="28"/>
        </w:rPr>
        <w:t>集中反映政府用于住房方面的支出。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32、住房保障支出（类）住房改革支出（款）:</w:t>
      </w:r>
      <w:r>
        <w:rPr>
          <w:rFonts w:hint="eastAsia" w:ascii="仿宋" w:hAnsi="CIDFont+F6" w:eastAsia="仿宋"/>
          <w:color w:val="000000"/>
          <w:sz w:val="28"/>
          <w:szCs w:val="28"/>
        </w:rPr>
        <w:t>反映行政事业单位用财政拨款资金和其他资金等安排的住房改革支出。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33、住房保障支出（类）住房改革支出（款）住房公积金（项）:</w:t>
      </w:r>
      <w:r>
        <w:rPr>
          <w:rFonts w:hint="eastAsia" w:ascii="仿宋" w:hAnsi="CIDFont+F6" w:eastAsia="仿宋"/>
          <w:color w:val="000000"/>
          <w:sz w:val="28"/>
          <w:szCs w:val="28"/>
        </w:rPr>
        <w:t>反映行政事业单位按人事部和财政部规定的基本工资和津贴补贴以及规定比例为职工缴纳的住房公积金。</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34、工资福利支出（类）:</w:t>
      </w:r>
      <w:r>
        <w:rPr>
          <w:rFonts w:hint="eastAsia" w:ascii="仿宋" w:hAnsi="CIDFont+F6" w:eastAsia="仿宋"/>
          <w:color w:val="000000"/>
          <w:sz w:val="28"/>
          <w:szCs w:val="28"/>
        </w:rPr>
        <w:t>反映单位开支的在职职工和编制外长期聘用人员的各类劳动报酬，以及为上述人员缴纳的各项社会保险费等。</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35、工资福利支出（类）基本工资（款）:</w:t>
      </w:r>
      <w:r>
        <w:rPr>
          <w:rFonts w:hint="eastAsia" w:ascii="仿宋" w:hAnsi="CIDFont+F6" w:eastAsia="仿宋"/>
          <w:color w:val="000000"/>
          <w:sz w:val="28"/>
          <w:szCs w:val="28"/>
        </w:rPr>
        <w:t>反映按规定发放的基本工资，包括公务员的职务工资、级别工资；机关工人的岗位工资、技术等级工资；事业单位工作人员的岗位工资、薪级工资；各类学校毕业生试用期（见习期）工资、新参加工作工人学徒期、熟练期工资；军队（含武警）军官、文职干部的职务（专业技术等级）工资、军衔（级别）工资和军龄工资；军队士官的军衔等级工资和军龄工资等。</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36、工资福利支出（类）津贴补贴（款）:</w:t>
      </w:r>
      <w:r>
        <w:rPr>
          <w:rFonts w:hint="eastAsia" w:ascii="仿宋" w:hAnsi="CIDFont+F6" w:eastAsia="仿宋"/>
          <w:color w:val="000000"/>
          <w:sz w:val="28"/>
          <w:szCs w:val="28"/>
        </w:rPr>
        <w:t>反映按规定发放的津贴、补贴，包括机关工作人员工作性津贴、生活性补贴、地区附加津贴、岗位津贴，机关事业单位艰苦边远地区津贴，事业单位工作人员特殊岗位津贴补贴，机关事业单位提租补贴、购房补贴、采暖补贴、物业服务补贴等。</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37、工资福利支出（类）奖金（款）:</w:t>
      </w:r>
      <w:r>
        <w:rPr>
          <w:rFonts w:hint="eastAsia" w:ascii="仿宋" w:hAnsi="CIDFont+F6" w:eastAsia="仿宋"/>
          <w:color w:val="000000"/>
          <w:sz w:val="28"/>
          <w:szCs w:val="28"/>
        </w:rPr>
        <w:t>反映按照规定发放的奖金，包括机关工作人员年终一次性奖金、绩效奖金（基础绩效奖、年度绩效奖）等。</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38、工资福利支出（类）绩效工资（款）:</w:t>
      </w:r>
      <w:r>
        <w:rPr>
          <w:rFonts w:hint="eastAsia" w:ascii="仿宋" w:hAnsi="CIDFont+F6" w:eastAsia="仿宋"/>
          <w:color w:val="000000"/>
          <w:sz w:val="28"/>
          <w:szCs w:val="28"/>
        </w:rPr>
        <w:t>反映事业单位工作人员的绩效工资。</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39、工资福利支出（类）机关事业单位基本养老保险缴费（款）:</w:t>
      </w:r>
      <w:r>
        <w:rPr>
          <w:rFonts w:hint="eastAsia" w:ascii="仿宋" w:hAnsi="CIDFont+F6" w:eastAsia="仿宋"/>
          <w:color w:val="000000"/>
          <w:sz w:val="28"/>
          <w:szCs w:val="28"/>
        </w:rPr>
        <w:t>反映机关事业单位缴纳的基本养老保险费。由单位代扣的工作人员基本养老保险缴费，不在此科目反映。</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40、工资福利支出（类）职业年金缴费（款）:</w:t>
      </w:r>
      <w:r>
        <w:rPr>
          <w:rFonts w:hint="eastAsia" w:ascii="仿宋" w:hAnsi="CIDFont+F6" w:eastAsia="仿宋"/>
          <w:color w:val="000000"/>
          <w:sz w:val="28"/>
          <w:szCs w:val="28"/>
        </w:rPr>
        <w:t>反映机关事业单位实际缴纳的职业年金支出（含职业年金补记支出）。由单位代扣的工作人员职业年金缴费，不在此科目反映。</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41、工资福利支出（类）职工基本医疗保险缴费（款）:</w:t>
      </w:r>
      <w:r>
        <w:rPr>
          <w:rFonts w:hint="eastAsia" w:ascii="仿宋" w:hAnsi="CIDFont+F6" w:eastAsia="仿宋"/>
          <w:color w:val="000000"/>
          <w:sz w:val="28"/>
          <w:szCs w:val="28"/>
        </w:rPr>
        <w:t>反映单位为职工缴纳的基本医疗保险（含生育保险）费。</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42、工资福利支出（类）公务员医疗补助缴费（款）:</w:t>
      </w:r>
      <w:r>
        <w:rPr>
          <w:rFonts w:hint="eastAsia" w:ascii="仿宋" w:hAnsi="CIDFont+F6" w:eastAsia="仿宋"/>
          <w:color w:val="000000"/>
          <w:sz w:val="28"/>
          <w:szCs w:val="28"/>
        </w:rPr>
        <w:t>反映按规定可享受公务员医疗补助单位为职工缴纳的公务员医疗补助费。</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43、工资福利支出（类）其他社会保障缴费（款）:</w:t>
      </w:r>
      <w:r>
        <w:rPr>
          <w:rFonts w:hint="eastAsia" w:ascii="仿宋" w:hAnsi="CIDFont+F6" w:eastAsia="仿宋"/>
          <w:color w:val="000000"/>
          <w:sz w:val="28"/>
          <w:szCs w:val="28"/>
        </w:rPr>
        <w:t>反映单位为职工缴纳的失业、工伤等社会保险费，残疾人就业保障金，军队（含武警）为军人缴纳的退役养老、医疗等社会保险费。</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44、工资福利支出（类）住房公积金（款）:</w:t>
      </w:r>
      <w:r>
        <w:rPr>
          <w:rFonts w:hint="eastAsia" w:ascii="仿宋" w:hAnsi="CIDFont+F6" w:eastAsia="仿宋"/>
          <w:color w:val="000000"/>
          <w:sz w:val="28"/>
          <w:szCs w:val="28"/>
        </w:rPr>
        <w:t>反映单位按照规定为职工缴纳的住房公积金。</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45、工资福利支出（类）其他工资福利支出（款）:</w:t>
      </w:r>
      <w:r>
        <w:rPr>
          <w:rFonts w:hint="eastAsia" w:ascii="仿宋" w:hAnsi="CIDFont+F6" w:eastAsia="仿宋"/>
          <w:color w:val="000000"/>
          <w:sz w:val="28"/>
          <w:szCs w:val="28"/>
        </w:rPr>
        <w:t>反映上述科目未包括的工资福利支出，如各种加班工资、病假两个月以上期间的人员工资，职工探亲旅费，困难职工生活补助，编制外长期聘用人员（不包括劳务派遣人员）劳务报酬及社保缴费，公务员及参照公务员法管理的事业单位工作人员转入企业工作并按规定参加企业职工基本养老保险后给予的一次性补贴等。</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46、商品和服务支出（类）:</w:t>
      </w:r>
      <w:r>
        <w:rPr>
          <w:rFonts w:hint="eastAsia" w:ascii="仿宋" w:hAnsi="CIDFont+F6" w:eastAsia="仿宋"/>
          <w:color w:val="000000"/>
          <w:sz w:val="28"/>
          <w:szCs w:val="28"/>
        </w:rPr>
        <w:t>反映单位购买商品和服务的支出（不包括用于购置固定资产、战略性和应急性物资储备等资本性支出。）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47、商品和服务支出（类）办公费（款）:</w:t>
      </w:r>
      <w:r>
        <w:rPr>
          <w:rFonts w:hint="eastAsia" w:ascii="仿宋" w:hAnsi="CIDFont+F6" w:eastAsia="仿宋"/>
          <w:color w:val="000000"/>
          <w:sz w:val="28"/>
          <w:szCs w:val="28"/>
        </w:rPr>
        <w:t>反映单位购日常办公用品、书报杂志等支出。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48、商品和服务支出（类）印刷费（款）:</w:t>
      </w:r>
      <w:r>
        <w:rPr>
          <w:rFonts w:hint="eastAsia" w:ascii="仿宋" w:hAnsi="CIDFont+F6" w:eastAsia="仿宋"/>
          <w:color w:val="000000"/>
          <w:sz w:val="28"/>
          <w:szCs w:val="28"/>
        </w:rPr>
        <w:t>反映单位的印刷费支出。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49、商品和服务支出（类）咨询费（款）:</w:t>
      </w:r>
      <w:r>
        <w:rPr>
          <w:rFonts w:hint="eastAsia" w:ascii="仿宋" w:hAnsi="CIDFont+F6" w:eastAsia="仿宋"/>
          <w:color w:val="000000"/>
          <w:sz w:val="28"/>
          <w:szCs w:val="28"/>
        </w:rPr>
        <w:t>反映单位咨询方面的支出。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50、商品和服务支出（类）手续费（款）:</w:t>
      </w:r>
      <w:r>
        <w:rPr>
          <w:rFonts w:hint="eastAsia" w:ascii="仿宋" w:hAnsi="CIDFont+F6" w:eastAsia="仿宋"/>
          <w:color w:val="000000"/>
          <w:sz w:val="28"/>
          <w:szCs w:val="28"/>
        </w:rPr>
        <w:t>反映单位支付的各类手续费支出。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51、商品和服务支出（类）水费（款）:</w:t>
      </w:r>
      <w:r>
        <w:rPr>
          <w:rFonts w:hint="eastAsia" w:ascii="仿宋" w:hAnsi="CIDFont+F6" w:eastAsia="仿宋"/>
          <w:color w:val="000000"/>
          <w:sz w:val="28"/>
          <w:szCs w:val="28"/>
        </w:rPr>
        <w:t>反映单位支付的水费、污水处理费等支出。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52、商品和服务支出（类）电费（款）:</w:t>
      </w:r>
      <w:r>
        <w:rPr>
          <w:rFonts w:hint="eastAsia" w:ascii="仿宋" w:hAnsi="CIDFont+F6" w:eastAsia="仿宋"/>
          <w:color w:val="000000"/>
          <w:sz w:val="28"/>
          <w:szCs w:val="28"/>
        </w:rPr>
        <w:t>反映单位的电费支出。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53、商品和服务支出（类）邮电费（款）:</w:t>
      </w:r>
      <w:r>
        <w:rPr>
          <w:rFonts w:hint="eastAsia" w:ascii="仿宋" w:hAnsi="CIDFont+F6" w:eastAsia="仿宋"/>
          <w:color w:val="000000"/>
          <w:sz w:val="28"/>
          <w:szCs w:val="28"/>
        </w:rPr>
        <w:t>反映单位开支的信函、包裹、货物等物品的邮寄费及电话费、电报费、传真费、网络通讯费等。</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54、商品和服务支出（类）取暖费（款）:</w:t>
      </w:r>
      <w:r>
        <w:rPr>
          <w:rFonts w:hint="eastAsia" w:ascii="仿宋" w:hAnsi="CIDFont+F6" w:eastAsia="仿宋"/>
          <w:color w:val="000000"/>
          <w:sz w:val="28"/>
          <w:szCs w:val="28"/>
        </w:rPr>
        <w:t>反映单位取暖用燃料费、热力费、炉具购置费、锅炉临时工的工资、节煤奖以及由单位支付的未实行职工住房采暖补贴改革的在职职工和离退休人员宿舍取暖费等。</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55、商品和服务支出（类）物业管理费（款）:</w:t>
      </w:r>
      <w:r>
        <w:rPr>
          <w:rFonts w:hint="eastAsia" w:ascii="仿宋" w:hAnsi="CIDFont+F6" w:eastAsia="仿宋"/>
          <w:color w:val="000000"/>
          <w:sz w:val="28"/>
          <w:szCs w:val="28"/>
        </w:rPr>
        <w:t>反映单位开支的办公用房以及未实行职工住宅物业服务改革的在职职工和离退休人员宿舍等的物业管理费，包括综合治理、绿化、卫生等方面的支出。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56、商品和服务支出（类）差旅费（款）:</w:t>
      </w:r>
      <w:r>
        <w:rPr>
          <w:rFonts w:hint="eastAsia" w:ascii="仿宋" w:hAnsi="CIDFont+F6" w:eastAsia="仿宋"/>
          <w:color w:val="000000"/>
          <w:sz w:val="28"/>
          <w:szCs w:val="28"/>
        </w:rPr>
        <w:t>反映单位工作人员国（境）内出差发生的城市间交通费、住宿费、伙食补助费和市内交通费。</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57、商品和服务支出（类）维修（护）费（款）:</w:t>
      </w:r>
      <w:r>
        <w:rPr>
          <w:rFonts w:hint="eastAsia" w:ascii="仿宋" w:hAnsi="CIDFont+F6" w:eastAsia="仿宋"/>
          <w:color w:val="000000"/>
          <w:sz w:val="28"/>
          <w:szCs w:val="28"/>
        </w:rPr>
        <w:t>反映单位日常开支的固定资产（不包括车船等交通工具）修理和维护费用，网络信息系统运行与维护费用，以及按规定提取的修购基金。</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58、商品和服务支出（类）会议费（款）:</w:t>
      </w:r>
      <w:r>
        <w:rPr>
          <w:rFonts w:hint="eastAsia" w:ascii="仿宋" w:hAnsi="CIDFont+F6" w:eastAsia="仿宋"/>
          <w:color w:val="000000"/>
          <w:sz w:val="28"/>
          <w:szCs w:val="28"/>
        </w:rPr>
        <w:t>反映会议期间按规定开支的住宿费、伙食费、会议场地租金、交通费、文件印刷费、医药费等。</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59、商品和服务支出（类）培训费（款）:</w:t>
      </w:r>
      <w:r>
        <w:rPr>
          <w:rFonts w:hint="eastAsia" w:ascii="仿宋" w:hAnsi="CIDFont+F6" w:eastAsia="仿宋"/>
          <w:color w:val="000000"/>
          <w:sz w:val="28"/>
          <w:szCs w:val="28"/>
        </w:rPr>
        <w:t>反映除因公出国（境）培训费以外的，在培训期间发生的师资费、住宿费、伙食费、培训场地费、培训资料费、交通费等各类培训费用。</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60、商品和服务支出（类）公务接待费（款）:</w:t>
      </w:r>
      <w:r>
        <w:rPr>
          <w:rFonts w:hint="eastAsia" w:ascii="仿宋" w:hAnsi="CIDFont+F6" w:eastAsia="仿宋"/>
          <w:color w:val="000000"/>
          <w:sz w:val="28"/>
          <w:szCs w:val="28"/>
        </w:rPr>
        <w:t>反映单位按规定开支的各类公务接待（含外宾接待）费用。</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61、商品和服务支出（类）劳务费（款）:</w:t>
      </w:r>
      <w:r>
        <w:rPr>
          <w:rFonts w:hint="eastAsia" w:ascii="仿宋" w:hAnsi="CIDFont+F6" w:eastAsia="仿宋"/>
          <w:color w:val="000000"/>
          <w:sz w:val="28"/>
          <w:szCs w:val="28"/>
        </w:rPr>
        <w:t>反映支付给外单位和个人的劳务费用，如临时聘用人员、钟点工工资，稿费、翻译费，评审费等。</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62、商品和服务支出（类）委托业务费（款）:</w:t>
      </w:r>
      <w:r>
        <w:rPr>
          <w:rFonts w:hint="eastAsia" w:ascii="仿宋" w:hAnsi="CIDFont+F6" w:eastAsia="仿宋"/>
          <w:color w:val="000000"/>
          <w:sz w:val="28"/>
          <w:szCs w:val="28"/>
        </w:rPr>
        <w:t>反映因委托外单位办理业务而支付的委托业务费。</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63、商品和服务支出（类）工会经费（款）:</w:t>
      </w:r>
      <w:r>
        <w:rPr>
          <w:rFonts w:hint="eastAsia" w:ascii="仿宋" w:hAnsi="CIDFont+F6" w:eastAsia="仿宋"/>
          <w:color w:val="000000"/>
          <w:sz w:val="28"/>
          <w:szCs w:val="28"/>
        </w:rPr>
        <w:t>反映单位按规定提取或安排的工会经费。</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64、商品和服务支出（类）福利费（款）:</w:t>
      </w:r>
      <w:r>
        <w:rPr>
          <w:rFonts w:hint="eastAsia" w:ascii="仿宋" w:hAnsi="CIDFont+F6" w:eastAsia="仿宋"/>
          <w:color w:val="000000"/>
          <w:sz w:val="28"/>
          <w:szCs w:val="28"/>
        </w:rPr>
        <w:t>反映单位按规定提取的职工福利费。</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65、商品和服务支出（类）公务用车运行维护费（款）:</w:t>
      </w:r>
      <w:r>
        <w:rPr>
          <w:rFonts w:hint="eastAsia" w:ascii="仿宋" w:hAnsi="CIDFont+F6" w:eastAsia="仿宋"/>
          <w:color w:val="000000"/>
          <w:sz w:val="28"/>
          <w:szCs w:val="28"/>
        </w:rPr>
        <w:t>反映单位按规定保留的公务用车的燃料费、维修费、过桥过路费、保险费、安全奖励费用等支出。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66、商品和服务支出（类）税金及附加费用（款）:</w:t>
      </w:r>
      <w:r>
        <w:rPr>
          <w:rFonts w:hint="eastAsia" w:ascii="仿宋" w:hAnsi="CIDFont+F6" w:eastAsia="仿宋"/>
          <w:color w:val="000000"/>
          <w:sz w:val="28"/>
          <w:szCs w:val="28"/>
        </w:rPr>
        <w:t>反映单位提供劳务或销售产品应负担的税金及附加费用。包括消费税、城市维护建设税、资源税和教育费附加等。</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67、商品和服务支出（类）其他商品和服务支出（款）:</w:t>
      </w:r>
      <w:r>
        <w:rPr>
          <w:rFonts w:hint="eastAsia" w:ascii="仿宋" w:hAnsi="CIDFont+F6" w:eastAsia="仿宋"/>
          <w:color w:val="000000"/>
          <w:sz w:val="28"/>
          <w:szCs w:val="28"/>
        </w:rPr>
        <w:t>反映上述科目未包括的日常公用支出。如诉讼费、国内组织的会员费、来访费、广告宣传费及离退休人员特需费、离退休人员公用经费等。</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68、对个人和家庭的补助（类）:</w:t>
      </w:r>
      <w:r>
        <w:rPr>
          <w:rFonts w:hint="eastAsia" w:ascii="仿宋" w:hAnsi="CIDFont+F6" w:eastAsia="仿宋"/>
          <w:color w:val="000000"/>
          <w:sz w:val="28"/>
          <w:szCs w:val="28"/>
        </w:rPr>
        <w:t>反映政府用于对个人和家庭的补助支出。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69、对个人和家庭的补助（类）退休费（款）:</w:t>
      </w:r>
      <w:r>
        <w:rPr>
          <w:rFonts w:hint="eastAsia" w:ascii="仿宋" w:hAnsi="CIDFont+F6" w:eastAsia="仿宋"/>
          <w:color w:val="000000"/>
          <w:sz w:val="28"/>
          <w:szCs w:val="28"/>
        </w:rPr>
        <w:t>反映机关事业单位和军队移交政府安置的退休人员的退休费以及提租补贴、购房补贴、采暖补贴、物业服务补贴等补贴。</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70、对个人和家庭的补助（类）生活补助（款）:</w:t>
      </w:r>
      <w:r>
        <w:rPr>
          <w:rFonts w:hint="eastAsia" w:ascii="仿宋" w:hAnsi="CIDFont+F6" w:eastAsia="仿宋"/>
          <w:color w:val="000000"/>
          <w:sz w:val="28"/>
          <w:szCs w:val="28"/>
        </w:rPr>
        <w:t>反映按规定开支的优抚对象定期定量生活补助费，退役军人生活补助费，机关事业单位职工和遗属生活补助，长期赡养人员补助费，由于国家实行退耕还林禁牧舍饲政策补偿给农牧民的现金、粮食支出，对农村党员、复员军人以及村干部的补助支出，罪犯、戒毒人员的伙食费、被服费、医疗卫生费等。</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71、对个人和家庭的补助（类）医疗费补助（款）:</w:t>
      </w:r>
      <w:r>
        <w:rPr>
          <w:rFonts w:hint="eastAsia" w:ascii="仿宋" w:hAnsi="CIDFont+F6" w:eastAsia="仿宋"/>
          <w:color w:val="000000"/>
          <w:sz w:val="28"/>
          <w:szCs w:val="28"/>
        </w:rPr>
        <w:t>反映机关事业单位和军队移交政府安置的离退休人员的医疗费，学生医疗费，优抚对象医疗补助，按国家规定资助居民参加城乡居民医疗保险的支出，对城乡贫困家庭的医疗救助支出。</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72、对个人和家庭的补助（类）奖励金（款）:</w:t>
      </w:r>
      <w:r>
        <w:rPr>
          <w:rFonts w:hint="eastAsia" w:ascii="仿宋" w:hAnsi="CIDFont+F6" w:eastAsia="仿宋"/>
          <w:color w:val="000000"/>
          <w:sz w:val="28"/>
          <w:szCs w:val="28"/>
        </w:rPr>
        <w:t>反映对个体私营经济的奖励、计划生育目标责任奖励、独生子女父母奖励等。</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73、资本性支出（类）:</w:t>
      </w:r>
      <w:r>
        <w:rPr>
          <w:rFonts w:hint="eastAsia" w:ascii="仿宋" w:hAnsi="CIDFont+F6" w:eastAsia="仿宋"/>
          <w:color w:val="000000"/>
          <w:sz w:val="28"/>
          <w:szCs w:val="28"/>
        </w:rPr>
        <w:t>反映各单位安排的资本性支出。切块由发展改革部门安排的基本建设支出不在此科目反映。</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74、资本性支出（类）办公设备购置（款）:</w:t>
      </w:r>
      <w:r>
        <w:rPr>
          <w:rFonts w:hint="eastAsia" w:ascii="仿宋" w:hAnsi="CIDFont+F6" w:eastAsia="仿宋"/>
          <w:color w:val="000000"/>
          <w:sz w:val="28"/>
          <w:szCs w:val="28"/>
        </w:rPr>
        <w:t>反映用于购置并按财务会计制度规定纳入固定资产核算范围的办公家具和办公设备的支出,以及按规定提取的修购基金。</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75、资本性支出（类）信息网络及软件购置更新（款）:</w:t>
      </w:r>
      <w:r>
        <w:rPr>
          <w:rFonts w:hint="eastAsia" w:ascii="仿宋" w:hAnsi="CIDFont+F6" w:eastAsia="仿宋"/>
          <w:color w:val="000000"/>
          <w:sz w:val="28"/>
          <w:szCs w:val="28"/>
        </w:rPr>
        <w:t>反映用于信息网络和软件方面的支出。如服务器购置、软件购置、开发、应用支出等，如果购置的相关硬件、软件等不符合财务会计制度规定的固定资产确认标准的，不在此科目反映。</w:t>
      </w:r>
    </w:p>
    <w:p>
      <w:pPr>
        <w:spacing w:line="560" w:lineRule="exact"/>
        <w:ind w:firstLine="562" w:firstLineChars="200"/>
        <w:rPr>
          <w:rFonts w:hint="eastAsia" w:ascii="仿宋" w:hAnsi="CIDFont+F6" w:eastAsia="仿宋"/>
          <w:color w:val="000000"/>
          <w:sz w:val="28"/>
          <w:szCs w:val="28"/>
        </w:rPr>
      </w:pPr>
      <w:r>
        <w:rPr>
          <w:rFonts w:hint="eastAsia" w:ascii="仿宋" w:hAnsi="CIDFont+F4" w:eastAsia="仿宋"/>
          <w:b/>
          <w:color w:val="000000"/>
          <w:sz w:val="28"/>
          <w:szCs w:val="28"/>
        </w:rPr>
        <w:t>76、资本性支出（类）公务用车购置（款）:</w:t>
      </w:r>
      <w:r>
        <w:rPr>
          <w:rFonts w:hint="eastAsia" w:ascii="仿宋" w:hAnsi="CIDFont+F6" w:eastAsia="仿宋"/>
          <w:color w:val="000000"/>
          <w:sz w:val="28"/>
          <w:szCs w:val="28"/>
        </w:rPr>
        <w:t>反映公务用车车辆购置支出（含车辆购置税、牌照费）。</w:t>
      </w:r>
    </w:p>
    <w:p>
      <w:pPr>
        <w:spacing w:line="560" w:lineRule="exact"/>
        <w:ind w:firstLine="560" w:firstLineChars="200"/>
        <w:rPr>
          <w:rFonts w:hint="eastAsia" w:ascii="仿宋" w:hAnsi="CIDFont+F6" w:eastAsia="仿宋"/>
          <w:color w:val="000000"/>
          <w:sz w:val="28"/>
          <w:szCs w:val="28"/>
        </w:rPr>
      </w:pPr>
    </w:p>
    <w:p>
      <w:pPr>
        <w:spacing w:line="560" w:lineRule="exact"/>
        <w:ind w:firstLine="560" w:firstLineChars="200"/>
        <w:rPr>
          <w:rFonts w:hint="eastAsia" w:ascii="仿宋" w:hAnsi="CIDFont+F6" w:eastAsia="仿宋"/>
          <w:color w:val="000000"/>
          <w:sz w:val="28"/>
          <w:szCs w:val="28"/>
        </w:rPr>
      </w:pPr>
    </w:p>
    <w:p>
      <w:pPr>
        <w:wordWrap w:val="0"/>
        <w:spacing w:line="560" w:lineRule="exact"/>
        <w:jc w:val="right"/>
        <w:rPr>
          <w:rFonts w:hint="eastAsia" w:ascii="仿宋" w:hAnsi="CIDFont+F6" w:eastAsia="仿宋"/>
          <w:color w:val="000000"/>
          <w:sz w:val="28"/>
          <w:szCs w:val="28"/>
        </w:rPr>
      </w:pPr>
      <w:r>
        <w:rPr>
          <w:rFonts w:hint="eastAsia" w:ascii="仿宋" w:hAnsi="CIDFont+F6" w:eastAsia="仿宋"/>
          <w:color w:val="000000"/>
          <w:sz w:val="28"/>
          <w:szCs w:val="28"/>
        </w:rPr>
        <w:t xml:space="preserve">                                              甘肃省教育科学研究院</w:t>
      </w:r>
      <w:r>
        <w:rPr>
          <w:rFonts w:hint="eastAsia" w:ascii="仿宋" w:hAnsi="CIDFont+F6" w:eastAsia="仿宋"/>
          <w:color w:val="000000"/>
          <w:sz w:val="28"/>
          <w:szCs w:val="28"/>
        </w:rPr>
        <w:tab/>
      </w:r>
      <w:r>
        <w:rPr>
          <w:rFonts w:hint="eastAsia" w:ascii="仿宋" w:hAnsi="CIDFont+F6" w:eastAsia="仿宋"/>
          <w:color w:val="000000"/>
          <w:sz w:val="28"/>
          <w:szCs w:val="28"/>
        </w:rPr>
        <w:t xml:space="preserve">     </w:t>
      </w:r>
      <w:r>
        <w:rPr>
          <w:rFonts w:hint="eastAsia" w:ascii="仿宋" w:hAnsi="CIDFont+F6" w:eastAsia="仿宋"/>
          <w:color w:val="000000"/>
          <w:sz w:val="28"/>
          <w:szCs w:val="28"/>
        </w:rPr>
        <w:tab/>
      </w:r>
      <w:r>
        <w:rPr>
          <w:rFonts w:hint="eastAsia" w:ascii="仿宋" w:hAnsi="CIDFont+F6" w:eastAsia="仿宋"/>
          <w:color w:val="000000"/>
          <w:sz w:val="28"/>
          <w:szCs w:val="28"/>
        </w:rPr>
        <w:t>2024年03月11日</w:t>
      </w:r>
    </w:p>
    <w:p>
      <w:pPr>
        <w:spacing w:line="560" w:lineRule="exact"/>
        <w:jc w:val="right"/>
        <w:rPr>
          <w:rFonts w:hint="eastAsia" w:ascii="仿宋" w:hAnsi="CIDFont+F6" w:eastAsia="仿宋"/>
          <w:color w:val="000000"/>
          <w:sz w:val="28"/>
          <w:szCs w:val="28"/>
        </w:rPr>
      </w:pPr>
    </w:p>
    <w:p>
      <w:pPr>
        <w:spacing w:line="600" w:lineRule="exact"/>
        <w:ind w:firstLine="280" w:firstLineChars="100"/>
        <w:rPr>
          <w:rFonts w:ascii="仿宋" w:hAnsi="宋体" w:eastAsia="仿宋" w:cs="宋体"/>
          <w:kern w:val="0"/>
          <w:sz w:val="28"/>
          <w:szCs w:val="28"/>
        </w:rPr>
      </w:pPr>
      <w:r>
        <w:rPr>
          <w:rFonts w:hint="eastAsia" w:ascii="仿宋" w:hAnsi="宋体" w:eastAsia="仿宋" w:cs="宋体"/>
          <w:kern w:val="0"/>
          <w:sz w:val="28"/>
          <w:szCs w:val="28"/>
        </w:rPr>
        <w:t>附件：1.甘肃省教育科学研究院2024年单位预算公开表</w:t>
      </w:r>
    </w:p>
    <w:p>
      <w:pPr>
        <w:spacing w:line="600" w:lineRule="exact"/>
        <w:ind w:firstLine="1120" w:firstLineChars="400"/>
        <w:rPr>
          <w:rFonts w:ascii="仿宋" w:hAnsi="宋体" w:eastAsia="仿宋" w:cs="宋体"/>
          <w:kern w:val="0"/>
          <w:sz w:val="28"/>
          <w:szCs w:val="28"/>
        </w:rPr>
      </w:pPr>
      <w:r>
        <w:rPr>
          <w:rFonts w:hint="eastAsia" w:ascii="仿宋" w:hAnsi="宋体" w:eastAsia="仿宋" w:cs="宋体"/>
          <w:kern w:val="0"/>
          <w:sz w:val="28"/>
          <w:szCs w:val="28"/>
        </w:rPr>
        <w:t>2.甘肃省教育科学研究院2024年单位整体支出绩效目标及预算</w:t>
      </w:r>
    </w:p>
    <w:p>
      <w:pPr>
        <w:spacing w:line="600" w:lineRule="exact"/>
        <w:ind w:left="1069" w:leftChars="509"/>
        <w:rPr>
          <w:rFonts w:ascii="仿宋" w:hAnsi="宋体" w:eastAsia="仿宋" w:cs="宋体"/>
          <w:kern w:val="0"/>
          <w:sz w:val="28"/>
          <w:szCs w:val="28"/>
        </w:rPr>
      </w:pPr>
      <w:r>
        <w:rPr>
          <w:rFonts w:hint="eastAsia" w:ascii="仿宋" w:hAnsi="宋体" w:eastAsia="仿宋" w:cs="宋体"/>
          <w:kern w:val="0"/>
          <w:sz w:val="28"/>
          <w:szCs w:val="28"/>
        </w:rPr>
        <w:t>目绩效目标表</w:t>
      </w:r>
    </w:p>
    <w:p>
      <w:pPr>
        <w:spacing w:line="360" w:lineRule="exact"/>
        <w:rPr>
          <w:rFonts w:ascii="黑体" w:eastAsia="黑体"/>
          <w:sz w:val="30"/>
          <w:szCs w:val="30"/>
        </w:rPr>
        <w:sectPr>
          <w:pgSz w:w="11906" w:h="16838"/>
          <w:pgMar w:top="1134" w:right="1134" w:bottom="1134" w:left="1134" w:header="851" w:footer="992" w:gutter="0"/>
          <w:cols w:space="425" w:num="1"/>
          <w:docGrid w:type="lines" w:linePitch="312" w:charSpace="0"/>
        </w:sectPr>
      </w:pPr>
      <w:r>
        <w:rPr>
          <w:rFonts w:hint="eastAsia" w:ascii="黑体" w:eastAsia="黑体"/>
          <w:sz w:val="30"/>
          <w:szCs w:val="30"/>
        </w:rPr>
        <w:br w:type="page"/>
      </w:r>
    </w:p>
    <w:p>
      <w:r>
        <w:rPr>
          <w:rFonts w:hint="eastAsia"/>
        </w:rPr>
        <w:t>附件1</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rPr>
          <w:sz w:val="24"/>
        </w:rPr>
      </w:pPr>
      <w:r>
        <w:rPr>
          <w:rFonts w:hint="eastAsia"/>
        </w:rPr>
        <w:tab/>
      </w:r>
      <w:r>
        <w:rPr>
          <w:rFonts w:hint="eastAsia"/>
          <w:sz w:val="24"/>
          <w:szCs w:val="24"/>
        </w:rPr>
        <w:t>单位代码：</w:t>
      </w:r>
      <w:r>
        <w:rPr>
          <w:rFonts w:hint="eastAsia"/>
          <w:sz w:val="24"/>
          <w:szCs w:val="24"/>
        </w:rPr>
        <w:tab/>
      </w:r>
      <w:r>
        <w:rPr>
          <w:rFonts w:hint="eastAsia"/>
          <w:sz w:val="24"/>
          <w:szCs w:val="24"/>
        </w:rPr>
        <w:t>303007</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p>
    <w:p>
      <w:r>
        <w:rPr>
          <w:rFonts w:hint="eastAsia"/>
          <w:sz w:val="24"/>
          <w:szCs w:val="24"/>
        </w:rPr>
        <w:tab/>
      </w:r>
      <w:r>
        <w:rPr>
          <w:rFonts w:hint="eastAsia"/>
          <w:sz w:val="24"/>
          <w:szCs w:val="24"/>
        </w:rPr>
        <w:t>单位名称：</w:t>
      </w:r>
      <w:r>
        <w:rPr>
          <w:rFonts w:hint="eastAsia"/>
          <w:sz w:val="24"/>
          <w:szCs w:val="24"/>
        </w:rPr>
        <w:tab/>
      </w:r>
      <w:r>
        <w:rPr>
          <w:rFonts w:hint="eastAsia"/>
          <w:sz w:val="24"/>
          <w:szCs w:val="24"/>
        </w:rPr>
        <w:t>甘肃省教育科学研究院</w:t>
      </w:r>
      <w:r>
        <w:rPr>
          <w:rFonts w:hint="eastAsia"/>
          <w:sz w:val="24"/>
          <w:szCs w:val="24"/>
        </w:rPr>
        <w:tab/>
      </w:r>
      <w:r>
        <w:rPr>
          <w:rFonts w:hint="eastAsia"/>
          <w:sz w:val="24"/>
          <w:szCs w:val="24"/>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jc w:val="center"/>
      </w:pPr>
    </w:p>
    <w:p>
      <w:pPr>
        <w:jc w:val="center"/>
      </w:pPr>
    </w:p>
    <w:p>
      <w:pPr>
        <w:jc w:val="center"/>
        <w:rPr>
          <w:b/>
          <w:bCs/>
          <w:sz w:val="52"/>
          <w:szCs w:val="52"/>
        </w:rPr>
      </w:pPr>
      <w:r>
        <w:rPr>
          <w:rFonts w:hint="eastAsia"/>
          <w:b/>
          <w:bCs/>
          <w:sz w:val="48"/>
          <w:szCs w:val="48"/>
        </w:rPr>
        <w:t>甘肃省教育科学研究院2024年</w:t>
      </w:r>
      <w:r>
        <w:rPr>
          <w:rFonts w:hint="eastAsia"/>
          <w:b/>
          <w:bCs/>
          <w:sz w:val="48"/>
          <w:szCs w:val="48"/>
          <w:lang w:eastAsia="zh-CN"/>
        </w:rPr>
        <w:t>单位</w:t>
      </w:r>
      <w:r>
        <w:rPr>
          <w:rFonts w:hint="eastAsia"/>
          <w:b/>
          <w:bCs/>
          <w:sz w:val="48"/>
          <w:szCs w:val="48"/>
        </w:rPr>
        <w:t>预算批复表</w:t>
      </w:r>
    </w:p>
    <w:p>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jc w:val="center"/>
      </w:pPr>
    </w:p>
    <w:p>
      <w:pPr>
        <w:jc w:val="center"/>
      </w:pPr>
      <w:bookmarkStart w:id="0" w:name="_GoBack"/>
      <w:bookmarkEnd w:id="0"/>
    </w:p>
    <w:p>
      <w:pPr>
        <w:jc w:val="center"/>
      </w:pPr>
    </w:p>
    <w:p>
      <w:pPr>
        <w:ind w:firstLine="6480" w:firstLineChars="2700"/>
        <w:rPr>
          <w:sz w:val="24"/>
        </w:rPr>
      </w:pPr>
      <w:r>
        <w:rPr>
          <w:rFonts w:hint="eastAsia"/>
          <w:sz w:val="24"/>
          <w:szCs w:val="24"/>
        </w:rPr>
        <w:t>编制日期：</w:t>
      </w:r>
      <w:r>
        <w:rPr>
          <w:rFonts w:hint="eastAsia"/>
          <w:sz w:val="24"/>
          <w:szCs w:val="24"/>
        </w:rPr>
        <w:tab/>
      </w:r>
      <w:r>
        <w:rPr>
          <w:rFonts w:hint="eastAsia"/>
          <w:sz w:val="24"/>
          <w:szCs w:val="24"/>
        </w:rPr>
        <w:t>2024-02-26</w:t>
      </w:r>
    </w:p>
    <w:p>
      <w:pPr>
        <w:rPr>
          <w:sz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p>
    <w:p>
      <w:pPr>
        <w:ind w:firstLine="1200" w:firstLineChars="500"/>
        <w:jc w:val="center"/>
        <w:rPr>
          <w:sz w:val="24"/>
        </w:rPr>
      </w:pPr>
      <w:r>
        <w:rPr>
          <w:rFonts w:hint="eastAsia"/>
          <w:sz w:val="24"/>
          <w:szCs w:val="24"/>
        </w:rPr>
        <w:t>部门领导：郝玲</w:t>
      </w:r>
      <w:r>
        <w:rPr>
          <w:rFonts w:hint="eastAsia"/>
          <w:sz w:val="24"/>
          <w:szCs w:val="24"/>
        </w:rPr>
        <w:tab/>
      </w:r>
      <w:r>
        <w:rPr>
          <w:rFonts w:hint="eastAsia"/>
          <w:sz w:val="24"/>
          <w:szCs w:val="24"/>
        </w:rPr>
        <w:tab/>
      </w:r>
      <w:r>
        <w:rPr>
          <w:rFonts w:hint="eastAsia"/>
          <w:sz w:val="24"/>
          <w:szCs w:val="24"/>
        </w:rPr>
        <w:t xml:space="preserve">                财务负责人：俞雪山</w:t>
      </w:r>
      <w:r>
        <w:rPr>
          <w:rFonts w:hint="eastAsia"/>
          <w:sz w:val="24"/>
          <w:szCs w:val="24"/>
        </w:rPr>
        <w:tab/>
      </w:r>
      <w:r>
        <w:rPr>
          <w:rFonts w:hint="eastAsia"/>
          <w:sz w:val="24"/>
          <w:szCs w:val="24"/>
        </w:rPr>
        <w:tab/>
      </w:r>
      <w:r>
        <w:rPr>
          <w:rFonts w:hint="eastAsia"/>
          <w:sz w:val="24"/>
          <w:szCs w:val="24"/>
        </w:rPr>
        <w:t xml:space="preserve">                 制表人：马鹏花</w:t>
      </w:r>
    </w:p>
    <w:p>
      <w:pPr>
        <w:rPr>
          <w:sz w:val="24"/>
        </w:rPr>
      </w:pPr>
    </w:p>
    <w:p>
      <w:pPr>
        <w:jc w:val="center"/>
      </w:pPr>
      <w:r>
        <w:rPr>
          <w:rFonts w:hint="eastAsia"/>
          <w:sz w:val="28"/>
          <w:szCs w:val="28"/>
        </w:rPr>
        <w:t>目 录</w:t>
      </w:r>
    </w:p>
    <w:tbl>
      <w:tblPr>
        <w:tblStyle w:val="9"/>
        <w:tblW w:w="14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0"/>
        <w:gridCol w:w="7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7040" w:type="dxa"/>
            <w:tcBorders>
              <w:top w:val="single" w:color="auto" w:sz="4" w:space="0"/>
              <w:left w:val="nil"/>
              <w:right w:val="single" w:color="auto" w:sz="4" w:space="0"/>
            </w:tcBorders>
            <w:vAlign w:val="center"/>
          </w:tcPr>
          <w:p>
            <w:pPr>
              <w:jc w:val="center"/>
              <w:rPr>
                <w:sz w:val="18"/>
                <w:szCs w:val="18"/>
              </w:rPr>
            </w:pPr>
            <w:r>
              <w:rPr>
                <w:rFonts w:hint="eastAsia"/>
                <w:sz w:val="18"/>
                <w:szCs w:val="18"/>
              </w:rPr>
              <w:t>表  明</w:t>
            </w:r>
          </w:p>
        </w:tc>
        <w:tc>
          <w:tcPr>
            <w:tcW w:w="7040" w:type="dxa"/>
            <w:tcBorders>
              <w:top w:val="single" w:color="auto" w:sz="4" w:space="0"/>
              <w:left w:val="single" w:color="auto" w:sz="4" w:space="0"/>
              <w:right w:val="nil"/>
            </w:tcBorders>
            <w:vAlign w:val="center"/>
          </w:tcPr>
          <w:p>
            <w:pPr>
              <w:jc w:val="center"/>
              <w:rPr>
                <w:sz w:val="18"/>
                <w:szCs w:val="18"/>
              </w:rPr>
            </w:pPr>
            <w:r>
              <w:rPr>
                <w:rFonts w:hint="eastAsia"/>
                <w:sz w:val="18"/>
                <w:szCs w:val="1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7040" w:type="dxa"/>
            <w:tcBorders>
              <w:left w:val="nil"/>
              <w:right w:val="single" w:color="auto" w:sz="4" w:space="0"/>
            </w:tcBorders>
            <w:vAlign w:val="bottom"/>
          </w:tcPr>
          <w:p>
            <w:pPr>
              <w:rPr>
                <w:sz w:val="18"/>
                <w:szCs w:val="18"/>
              </w:rPr>
            </w:pPr>
            <w:r>
              <w:rPr>
                <w:rFonts w:hint="eastAsia"/>
                <w:sz w:val="18"/>
                <w:szCs w:val="18"/>
              </w:rPr>
              <w:t>（１）单位收支总体情况表</w:t>
            </w:r>
          </w:p>
        </w:tc>
        <w:tc>
          <w:tcPr>
            <w:tcW w:w="7040" w:type="dxa"/>
            <w:tcBorders>
              <w:left w:val="single" w:color="auto" w:sz="4" w:space="0"/>
              <w:right w:val="nil"/>
            </w:tcBorders>
            <w:vAlign w:val="bottom"/>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7040" w:type="dxa"/>
            <w:tcBorders>
              <w:left w:val="nil"/>
              <w:right w:val="single" w:color="auto" w:sz="4" w:space="0"/>
            </w:tcBorders>
            <w:vAlign w:val="bottom"/>
          </w:tcPr>
          <w:p>
            <w:pPr>
              <w:rPr>
                <w:sz w:val="18"/>
                <w:szCs w:val="18"/>
              </w:rPr>
            </w:pPr>
            <w:r>
              <w:rPr>
                <w:rFonts w:hint="eastAsia"/>
                <w:sz w:val="18"/>
                <w:szCs w:val="18"/>
              </w:rPr>
              <w:t>（２）单位收入总体情况表</w:t>
            </w:r>
          </w:p>
        </w:tc>
        <w:tc>
          <w:tcPr>
            <w:tcW w:w="7040" w:type="dxa"/>
            <w:tcBorders>
              <w:left w:val="single" w:color="auto" w:sz="4" w:space="0"/>
              <w:right w:val="nil"/>
            </w:tcBorders>
            <w:vAlign w:val="bottom"/>
          </w:tcPr>
          <w:p>
            <w:pPr>
              <w:rPr>
                <w:sz w:val="18"/>
                <w:szCs w:val="18"/>
              </w:rPr>
            </w:pPr>
            <w:r>
              <w:rPr>
                <w:rFonts w:hint="eastAsia"/>
                <w:sz w:val="18"/>
                <w:szCs w:val="18"/>
              </w:rPr>
              <w:t>财务预算口径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7040" w:type="dxa"/>
            <w:tcBorders>
              <w:left w:val="nil"/>
              <w:right w:val="single" w:color="auto" w:sz="4" w:space="0"/>
            </w:tcBorders>
            <w:vAlign w:val="bottom"/>
          </w:tcPr>
          <w:p>
            <w:pPr>
              <w:rPr>
                <w:sz w:val="18"/>
                <w:szCs w:val="18"/>
              </w:rPr>
            </w:pPr>
            <w:r>
              <w:rPr>
                <w:rFonts w:hint="eastAsia"/>
                <w:sz w:val="18"/>
                <w:szCs w:val="18"/>
              </w:rPr>
              <w:t>（３）单位支出总体情况表</w:t>
            </w:r>
          </w:p>
        </w:tc>
        <w:tc>
          <w:tcPr>
            <w:tcW w:w="7040" w:type="dxa"/>
            <w:tcBorders>
              <w:left w:val="single" w:color="auto" w:sz="4" w:space="0"/>
              <w:right w:val="nil"/>
            </w:tcBorders>
            <w:vAlign w:val="bottom"/>
          </w:tcPr>
          <w:p>
            <w:pPr>
              <w:rPr>
                <w:sz w:val="18"/>
                <w:szCs w:val="18"/>
              </w:rPr>
            </w:pPr>
            <w:r>
              <w:rPr>
                <w:rFonts w:hint="eastAsia"/>
                <w:sz w:val="18"/>
                <w:szCs w:val="18"/>
              </w:rPr>
              <w:t>功能分类全口径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7040" w:type="dxa"/>
            <w:tcBorders>
              <w:left w:val="nil"/>
              <w:right w:val="single" w:color="auto" w:sz="4" w:space="0"/>
            </w:tcBorders>
            <w:vAlign w:val="bottom"/>
          </w:tcPr>
          <w:p>
            <w:pPr>
              <w:rPr>
                <w:sz w:val="18"/>
                <w:szCs w:val="18"/>
              </w:rPr>
            </w:pPr>
            <w:r>
              <w:rPr>
                <w:rFonts w:hint="eastAsia"/>
                <w:sz w:val="18"/>
                <w:szCs w:val="18"/>
              </w:rPr>
              <w:t>（４）财政拨款收支总体情况表</w:t>
            </w:r>
          </w:p>
        </w:tc>
        <w:tc>
          <w:tcPr>
            <w:tcW w:w="7040" w:type="dxa"/>
            <w:tcBorders>
              <w:left w:val="single" w:color="auto" w:sz="4" w:space="0"/>
              <w:right w:val="nil"/>
            </w:tcBorders>
            <w:vAlign w:val="bottom"/>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7040" w:type="dxa"/>
            <w:tcBorders>
              <w:left w:val="nil"/>
              <w:right w:val="single" w:color="auto" w:sz="4" w:space="0"/>
            </w:tcBorders>
            <w:vAlign w:val="bottom"/>
          </w:tcPr>
          <w:p>
            <w:pPr>
              <w:rPr>
                <w:sz w:val="18"/>
                <w:szCs w:val="18"/>
              </w:rPr>
            </w:pPr>
            <w:r>
              <w:rPr>
                <w:rFonts w:hint="eastAsia"/>
                <w:sz w:val="18"/>
                <w:szCs w:val="18"/>
              </w:rPr>
              <w:t>（５）财政拨款支出表</w:t>
            </w:r>
          </w:p>
        </w:tc>
        <w:tc>
          <w:tcPr>
            <w:tcW w:w="7040" w:type="dxa"/>
            <w:tcBorders>
              <w:left w:val="single" w:color="auto" w:sz="4" w:space="0"/>
              <w:right w:val="nil"/>
            </w:tcBorders>
            <w:vAlign w:val="bottom"/>
          </w:tcPr>
          <w:p>
            <w:pPr>
              <w:rPr>
                <w:sz w:val="18"/>
                <w:szCs w:val="18"/>
              </w:rPr>
            </w:pPr>
            <w:r>
              <w:rPr>
                <w:rFonts w:hint="eastAsia"/>
                <w:sz w:val="18"/>
                <w:szCs w:val="18"/>
              </w:rPr>
              <w:t>财政拨款按单位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7040" w:type="dxa"/>
            <w:tcBorders>
              <w:left w:val="nil"/>
              <w:right w:val="single" w:color="auto" w:sz="4" w:space="0"/>
            </w:tcBorders>
            <w:vAlign w:val="bottom"/>
          </w:tcPr>
          <w:p>
            <w:pPr>
              <w:rPr>
                <w:sz w:val="18"/>
                <w:szCs w:val="18"/>
              </w:rPr>
            </w:pPr>
            <w:r>
              <w:rPr>
                <w:rFonts w:hint="eastAsia"/>
                <w:sz w:val="18"/>
                <w:szCs w:val="18"/>
              </w:rPr>
              <w:t>（６）一般公共预算支出情况表</w:t>
            </w:r>
          </w:p>
        </w:tc>
        <w:tc>
          <w:tcPr>
            <w:tcW w:w="7040" w:type="dxa"/>
            <w:tcBorders>
              <w:left w:val="single" w:color="auto" w:sz="4" w:space="0"/>
              <w:right w:val="nil"/>
            </w:tcBorders>
            <w:vAlign w:val="bottom"/>
          </w:tcPr>
          <w:p>
            <w:pPr>
              <w:rPr>
                <w:sz w:val="18"/>
                <w:szCs w:val="18"/>
              </w:rPr>
            </w:pPr>
            <w:r>
              <w:rPr>
                <w:rFonts w:hint="eastAsia"/>
                <w:sz w:val="18"/>
                <w:szCs w:val="18"/>
              </w:rPr>
              <w:t>功能分类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7040" w:type="dxa"/>
            <w:tcBorders>
              <w:left w:val="nil"/>
              <w:right w:val="single" w:color="auto" w:sz="4" w:space="0"/>
            </w:tcBorders>
            <w:vAlign w:val="bottom"/>
          </w:tcPr>
          <w:p>
            <w:pPr>
              <w:rPr>
                <w:sz w:val="18"/>
                <w:szCs w:val="18"/>
              </w:rPr>
            </w:pPr>
            <w:r>
              <w:rPr>
                <w:rFonts w:hint="eastAsia"/>
                <w:sz w:val="18"/>
                <w:szCs w:val="18"/>
              </w:rPr>
              <w:t>（７）一般公共预算基本支出情况表</w:t>
            </w:r>
          </w:p>
        </w:tc>
        <w:tc>
          <w:tcPr>
            <w:tcW w:w="7040" w:type="dxa"/>
            <w:tcBorders>
              <w:left w:val="single" w:color="auto" w:sz="4" w:space="0"/>
              <w:right w:val="nil"/>
            </w:tcBorders>
            <w:vAlign w:val="bottom"/>
          </w:tcPr>
          <w:p>
            <w:pPr>
              <w:rPr>
                <w:sz w:val="18"/>
                <w:szCs w:val="18"/>
              </w:rPr>
            </w:pPr>
            <w:r>
              <w:rPr>
                <w:rFonts w:hint="eastAsia"/>
                <w:sz w:val="18"/>
                <w:szCs w:val="18"/>
              </w:rPr>
              <w:t>支出经济分类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7040" w:type="dxa"/>
            <w:tcBorders>
              <w:left w:val="nil"/>
              <w:right w:val="single" w:color="auto" w:sz="4" w:space="0"/>
            </w:tcBorders>
            <w:vAlign w:val="bottom"/>
          </w:tcPr>
          <w:p>
            <w:pPr>
              <w:rPr>
                <w:sz w:val="18"/>
                <w:szCs w:val="18"/>
              </w:rPr>
            </w:pPr>
            <w:r>
              <w:rPr>
                <w:rFonts w:hint="eastAsia"/>
                <w:sz w:val="18"/>
                <w:szCs w:val="18"/>
              </w:rPr>
              <w:t>（８）一般公共预算财政拨款“三公”经费、会议费、培训费安排表</w:t>
            </w:r>
          </w:p>
        </w:tc>
        <w:tc>
          <w:tcPr>
            <w:tcW w:w="7040" w:type="dxa"/>
            <w:tcBorders>
              <w:left w:val="single" w:color="auto" w:sz="4" w:space="0"/>
              <w:right w:val="nil"/>
            </w:tcBorders>
            <w:vAlign w:val="bottom"/>
          </w:tcPr>
          <w:p>
            <w:pPr>
              <w:rPr>
                <w:sz w:val="18"/>
                <w:szCs w:val="18"/>
              </w:rPr>
            </w:pPr>
            <w:r>
              <w:rPr>
                <w:rFonts w:hint="eastAsia"/>
                <w:sz w:val="18"/>
                <w:szCs w:val="18"/>
              </w:rPr>
              <w:t>机关运行经费、经济分类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7040" w:type="dxa"/>
            <w:tcBorders>
              <w:left w:val="nil"/>
              <w:right w:val="single" w:color="auto" w:sz="4" w:space="0"/>
            </w:tcBorders>
            <w:vAlign w:val="bottom"/>
          </w:tcPr>
          <w:p>
            <w:pPr>
              <w:rPr>
                <w:sz w:val="18"/>
                <w:szCs w:val="18"/>
              </w:rPr>
            </w:pPr>
            <w:r>
              <w:rPr>
                <w:rFonts w:hint="eastAsia"/>
                <w:sz w:val="18"/>
                <w:szCs w:val="18"/>
              </w:rPr>
              <w:t>（９）一般公共预算机关运行经费</w:t>
            </w:r>
          </w:p>
        </w:tc>
        <w:tc>
          <w:tcPr>
            <w:tcW w:w="7040" w:type="dxa"/>
            <w:tcBorders>
              <w:left w:val="single" w:color="auto" w:sz="4" w:space="0"/>
              <w:right w:val="nil"/>
            </w:tcBorders>
            <w:vAlign w:val="bottom"/>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7040" w:type="dxa"/>
            <w:tcBorders>
              <w:left w:val="nil"/>
              <w:right w:val="single" w:color="auto" w:sz="4" w:space="0"/>
            </w:tcBorders>
            <w:vAlign w:val="bottom"/>
          </w:tcPr>
          <w:p>
            <w:pPr>
              <w:rPr>
                <w:sz w:val="18"/>
                <w:szCs w:val="18"/>
              </w:rPr>
            </w:pPr>
            <w:r>
              <w:rPr>
                <w:rFonts w:hint="eastAsia"/>
                <w:sz w:val="18"/>
                <w:szCs w:val="18"/>
              </w:rPr>
              <w:t>（１０）政府性基金预算支出情况表</w:t>
            </w:r>
          </w:p>
        </w:tc>
        <w:tc>
          <w:tcPr>
            <w:tcW w:w="7040" w:type="dxa"/>
            <w:tcBorders>
              <w:left w:val="single" w:color="auto" w:sz="4" w:space="0"/>
              <w:right w:val="nil"/>
            </w:tcBorders>
            <w:vAlign w:val="bottom"/>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7040" w:type="dxa"/>
            <w:tcBorders>
              <w:left w:val="nil"/>
              <w:right w:val="single" w:color="auto" w:sz="4" w:space="0"/>
            </w:tcBorders>
            <w:vAlign w:val="bottom"/>
          </w:tcPr>
          <w:p>
            <w:pPr>
              <w:rPr>
                <w:sz w:val="18"/>
                <w:szCs w:val="18"/>
              </w:rPr>
            </w:pPr>
            <w:r>
              <w:rPr>
                <w:rFonts w:hint="eastAsia"/>
                <w:sz w:val="18"/>
                <w:szCs w:val="18"/>
              </w:rPr>
              <w:t>（１１）部门管理转移支付表</w:t>
            </w:r>
          </w:p>
        </w:tc>
        <w:tc>
          <w:tcPr>
            <w:tcW w:w="7040" w:type="dxa"/>
            <w:tcBorders>
              <w:left w:val="single" w:color="auto" w:sz="4" w:space="0"/>
              <w:right w:val="nil"/>
            </w:tcBorders>
            <w:vAlign w:val="bottom"/>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7040" w:type="dxa"/>
            <w:tcBorders>
              <w:left w:val="nil"/>
              <w:bottom w:val="single" w:color="auto" w:sz="4" w:space="0"/>
              <w:right w:val="single" w:color="auto" w:sz="4" w:space="0"/>
            </w:tcBorders>
            <w:vAlign w:val="bottom"/>
          </w:tcPr>
          <w:p>
            <w:pPr>
              <w:rPr>
                <w:sz w:val="18"/>
                <w:szCs w:val="18"/>
              </w:rPr>
            </w:pPr>
            <w:r>
              <w:rPr>
                <w:rFonts w:hint="eastAsia"/>
                <w:sz w:val="18"/>
                <w:szCs w:val="18"/>
              </w:rPr>
              <w:t>（１２）国有资本经营预算支出情况表</w:t>
            </w:r>
          </w:p>
        </w:tc>
        <w:tc>
          <w:tcPr>
            <w:tcW w:w="7040" w:type="dxa"/>
            <w:tcBorders>
              <w:left w:val="single" w:color="auto" w:sz="4" w:space="0"/>
              <w:bottom w:val="single" w:color="auto" w:sz="4" w:space="0"/>
              <w:right w:val="nil"/>
            </w:tcBorders>
            <w:vAlign w:val="bottom"/>
          </w:tcPr>
          <w:p>
            <w:pPr>
              <w:rPr>
                <w:sz w:val="18"/>
                <w:szCs w:val="18"/>
              </w:rPr>
            </w:pPr>
          </w:p>
        </w:tc>
      </w:tr>
    </w:tbl>
    <w:p>
      <w:pPr>
        <w:widowControl/>
        <w:jc w:val="left"/>
        <w:rPr>
          <w:rFonts w:ascii="黑体" w:eastAsia="黑体"/>
          <w:sz w:val="30"/>
          <w:szCs w:val="30"/>
        </w:rPr>
        <w:sectPr>
          <w:pgSz w:w="16838" w:h="11906" w:orient="landscape"/>
          <w:pgMar w:top="1134" w:right="1134" w:bottom="1134" w:left="1134" w:header="851" w:footer="992" w:gutter="0"/>
          <w:cols w:space="425" w:num="1"/>
          <w:docGrid w:type="lines" w:linePitch="312" w:charSpace="0"/>
        </w:sectPr>
      </w:pPr>
    </w:p>
    <w:p>
      <w:pPr>
        <w:spacing w:line="360" w:lineRule="exact"/>
        <w:jc w:val="center"/>
        <w:rPr>
          <w:rFonts w:ascii="仿宋" w:hAnsi="宋体" w:eastAsia="仿宋" w:cs="宋体"/>
          <w:kern w:val="0"/>
          <w:sz w:val="32"/>
          <w:szCs w:val="32"/>
        </w:rPr>
      </w:pPr>
      <w:r>
        <w:rPr>
          <w:rFonts w:hint="eastAsia" w:ascii="仿宋" w:hAnsi="宋体" w:eastAsia="仿宋" w:cs="宋体"/>
          <w:kern w:val="0"/>
          <w:sz w:val="32"/>
          <w:szCs w:val="32"/>
        </w:rPr>
        <w:t>表一、单位收支总体情况表</w:t>
      </w:r>
    </w:p>
    <w:p>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8"/>
        <w:tblW w:w="9616" w:type="dxa"/>
        <w:jc w:val="center"/>
        <w:tblInd w:w="0" w:type="dxa"/>
        <w:tblLayout w:type="fixed"/>
        <w:tblCellMar>
          <w:top w:w="0" w:type="dxa"/>
          <w:left w:w="108" w:type="dxa"/>
          <w:bottom w:w="0" w:type="dxa"/>
          <w:right w:w="108" w:type="dxa"/>
        </w:tblCellMar>
      </w:tblPr>
      <w:tblGrid>
        <w:gridCol w:w="3368"/>
        <w:gridCol w:w="1600"/>
        <w:gridCol w:w="3236"/>
        <w:gridCol w:w="1412"/>
      </w:tblGrid>
      <w:tr>
        <w:tblPrEx>
          <w:tblLayout w:type="fixed"/>
          <w:tblCellMar>
            <w:top w:w="0" w:type="dxa"/>
            <w:left w:w="108" w:type="dxa"/>
            <w:bottom w:w="0" w:type="dxa"/>
            <w:right w:w="108" w:type="dxa"/>
          </w:tblCellMar>
        </w:tblPrEx>
        <w:trPr>
          <w:trHeight w:val="20" w:hRule="atLeast"/>
          <w:jc w:val="center"/>
        </w:trPr>
        <w:tc>
          <w:tcPr>
            <w:tcW w:w="496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w:t>
            </w:r>
          </w:p>
        </w:tc>
        <w:tc>
          <w:tcPr>
            <w:tcW w:w="4648" w:type="dxa"/>
            <w:gridSpan w:val="2"/>
            <w:tcBorders>
              <w:top w:val="single" w:color="auto" w:sz="4" w:space="0"/>
              <w:left w:val="nil"/>
              <w:bottom w:val="single" w:color="auto"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w:t>
            </w: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60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c>
          <w:tcPr>
            <w:tcW w:w="323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412" w:type="dxa"/>
            <w:tcBorders>
              <w:top w:val="nil"/>
              <w:left w:val="nil"/>
              <w:bottom w:val="single" w:color="auto"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一、一般公共预算财政拨款收入</w:t>
            </w:r>
          </w:p>
        </w:tc>
        <w:tc>
          <w:tcPr>
            <w:tcW w:w="1600" w:type="dxa"/>
            <w:tcBorders>
              <w:top w:val="nil"/>
              <w:left w:val="single" w:color="000000" w:sz="4" w:space="0"/>
              <w:bottom w:val="single" w:color="auto" w:sz="4" w:space="0"/>
              <w:right w:val="single" w:color="000000" w:sz="4" w:space="0"/>
            </w:tcBorders>
            <w:shd w:val="clear" w:color="CCCCFF" w:fill="FFFFFF"/>
          </w:tcPr>
          <w:p>
            <w:pPr>
              <w:jc w:val="right"/>
              <w:rPr>
                <w:rFonts w:ascii="宋体" w:hAnsi="宋体"/>
                <w:color w:val="000000"/>
                <w:sz w:val="18"/>
                <w:szCs w:val="18"/>
              </w:rPr>
            </w:pPr>
            <w:r>
              <w:rPr>
                <w:rFonts w:hint="eastAsia" w:ascii="宋体" w:hAnsi="宋体"/>
                <w:color w:val="000000"/>
                <w:sz w:val="18"/>
                <w:szCs w:val="18"/>
              </w:rPr>
              <w:t>1,106.49</w:t>
            </w: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二、政府性基金预算财政拨款收入</w:t>
            </w:r>
          </w:p>
        </w:tc>
        <w:tc>
          <w:tcPr>
            <w:tcW w:w="1600" w:type="dxa"/>
            <w:tcBorders>
              <w:top w:val="nil"/>
              <w:left w:val="single" w:color="000000" w:sz="4" w:space="0"/>
              <w:bottom w:val="single" w:color="auto" w:sz="4" w:space="0"/>
              <w:right w:val="single" w:color="000000" w:sz="4" w:space="0"/>
            </w:tcBorders>
            <w:shd w:val="clear" w:color="CCCCFF" w:fill="FFFFFF"/>
          </w:tcPr>
          <w:p>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三、国有资本经营预算收入</w:t>
            </w:r>
          </w:p>
        </w:tc>
        <w:tc>
          <w:tcPr>
            <w:tcW w:w="1600" w:type="dxa"/>
            <w:tcBorders>
              <w:top w:val="nil"/>
              <w:left w:val="nil"/>
              <w:bottom w:val="single" w:color="auto" w:sz="4" w:space="0"/>
              <w:right w:val="single" w:color="000000" w:sz="4" w:space="0"/>
            </w:tcBorders>
            <w:shd w:val="clear" w:color="CCCCFF" w:fill="FFFFFF"/>
          </w:tcPr>
          <w:p>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四、教育专户核算</w:t>
            </w:r>
          </w:p>
        </w:tc>
        <w:tc>
          <w:tcPr>
            <w:tcW w:w="1600" w:type="dxa"/>
            <w:tcBorders>
              <w:top w:val="nil"/>
              <w:left w:val="single" w:color="000000" w:sz="4" w:space="0"/>
              <w:bottom w:val="single" w:color="auto" w:sz="4" w:space="0"/>
              <w:right w:val="single" w:color="000000" w:sz="4" w:space="0"/>
            </w:tcBorders>
            <w:shd w:val="clear" w:color="CCCCFF" w:fill="FFFFFF"/>
          </w:tcPr>
          <w:p>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五、事业收入</w:t>
            </w:r>
          </w:p>
        </w:tc>
        <w:tc>
          <w:tcPr>
            <w:tcW w:w="1600" w:type="dxa"/>
            <w:tcBorders>
              <w:top w:val="nil"/>
              <w:left w:val="single" w:color="000000" w:sz="4" w:space="0"/>
              <w:bottom w:val="single" w:color="auto" w:sz="4" w:space="0"/>
              <w:right w:val="single" w:color="000000" w:sz="4" w:space="0"/>
            </w:tcBorders>
            <w:shd w:val="clear" w:color="CCCCFF" w:fill="FFFFFF"/>
          </w:tcPr>
          <w:p>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r>
              <w:rPr>
                <w:rFonts w:ascii="宋体" w:hAnsi="宋体"/>
                <w:sz w:val="18"/>
                <w:szCs w:val="18"/>
              </w:rPr>
              <w:t>2,242.71</w:t>
            </w: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六、上级补助收入</w:t>
            </w:r>
          </w:p>
        </w:tc>
        <w:tc>
          <w:tcPr>
            <w:tcW w:w="1600" w:type="dxa"/>
            <w:tcBorders>
              <w:top w:val="nil"/>
              <w:left w:val="nil"/>
              <w:bottom w:val="single" w:color="auto" w:sz="4" w:space="0"/>
              <w:right w:val="single" w:color="000000" w:sz="4" w:space="0"/>
            </w:tcBorders>
            <w:shd w:val="clear" w:color="CCCCFF" w:fill="FFFFFF"/>
          </w:tcPr>
          <w:p>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r>
              <w:rPr>
                <w:rFonts w:ascii="宋体" w:hAnsi="宋体"/>
                <w:sz w:val="18"/>
                <w:szCs w:val="18"/>
              </w:rPr>
              <w:t>300.00</w:t>
            </w: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七、附属单位上缴收入</w:t>
            </w:r>
          </w:p>
        </w:tc>
        <w:tc>
          <w:tcPr>
            <w:tcW w:w="1600" w:type="dxa"/>
            <w:tcBorders>
              <w:top w:val="nil"/>
              <w:left w:val="nil"/>
              <w:bottom w:val="single" w:color="auto" w:sz="4" w:space="0"/>
              <w:right w:val="single" w:color="000000" w:sz="4" w:space="0"/>
            </w:tcBorders>
            <w:shd w:val="clear" w:color="CCCCFF" w:fill="FFFFFF"/>
          </w:tcPr>
          <w:p>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七、文化旅游体育与传媒支出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八、经营收入</w:t>
            </w:r>
          </w:p>
        </w:tc>
        <w:tc>
          <w:tcPr>
            <w:tcW w:w="1600" w:type="dxa"/>
            <w:tcBorders>
              <w:top w:val="nil"/>
              <w:left w:val="single" w:color="000000" w:sz="4" w:space="0"/>
              <w:bottom w:val="single" w:color="auto" w:sz="4" w:space="0"/>
              <w:right w:val="single" w:color="000000" w:sz="4" w:space="0"/>
            </w:tcBorders>
            <w:shd w:val="clear" w:color="CCCCFF" w:fill="FFFFFF"/>
          </w:tcPr>
          <w:p>
            <w:pPr>
              <w:jc w:val="right"/>
              <w:rPr>
                <w:rFonts w:ascii="宋体" w:hAnsi="宋体"/>
                <w:color w:val="000000"/>
                <w:sz w:val="18"/>
                <w:szCs w:val="18"/>
              </w:rPr>
            </w:pPr>
            <w:r>
              <w:rPr>
                <w:rFonts w:hint="eastAsia" w:ascii="宋体" w:hAnsi="宋体"/>
                <w:color w:val="000000"/>
                <w:sz w:val="18"/>
                <w:szCs w:val="18"/>
              </w:rPr>
              <w:t>1,450.00</w:t>
            </w: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r>
              <w:rPr>
                <w:rFonts w:ascii="宋体" w:hAnsi="宋体"/>
                <w:sz w:val="18"/>
                <w:szCs w:val="18"/>
              </w:rPr>
              <w:t>186.12</w:t>
            </w: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九、其他收入</w:t>
            </w:r>
          </w:p>
        </w:tc>
        <w:tc>
          <w:tcPr>
            <w:tcW w:w="1600" w:type="dxa"/>
            <w:tcBorders>
              <w:top w:val="nil"/>
              <w:left w:val="single" w:color="000000" w:sz="4" w:space="0"/>
              <w:bottom w:val="single" w:color="auto" w:sz="4" w:space="0"/>
              <w:right w:val="single" w:color="000000" w:sz="4" w:space="0"/>
            </w:tcBorders>
            <w:shd w:val="clear" w:color="CCCCFF" w:fill="FFFFFF"/>
          </w:tcPr>
          <w:p>
            <w:pPr>
              <w:jc w:val="right"/>
              <w:rPr>
                <w:rFonts w:ascii="宋体" w:hAnsi="宋体"/>
                <w:color w:val="00000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九、社会保险基金支出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十、卫生健康支出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r>
              <w:rPr>
                <w:rFonts w:ascii="宋体" w:hAnsi="宋体"/>
                <w:sz w:val="18"/>
                <w:szCs w:val="18"/>
              </w:rPr>
              <w:t>129.63</w:t>
            </w: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十一、节能环保支出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十二、城乡社区支出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十三、农林水支出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十四、交通运输支出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十五、资源勘探工业信息等支出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十六、商业服务业等支出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十七、金融支出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十八、援助其他地区支出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十九、自然资源海洋气象等支出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二十、住房保障支出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r>
              <w:rPr>
                <w:rFonts w:ascii="宋体" w:hAnsi="宋体"/>
                <w:sz w:val="18"/>
                <w:szCs w:val="18"/>
              </w:rPr>
              <w:t>121.78</w:t>
            </w: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二十一、粮油物资储备支出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二十二、国有资本经营预算支出</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二十三、灾害防治及应急管理支出</w:t>
            </w:r>
          </w:p>
        </w:tc>
        <w:tc>
          <w:tcPr>
            <w:tcW w:w="1412" w:type="dxa"/>
            <w:tcBorders>
              <w:top w:val="nil"/>
              <w:left w:val="nil"/>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二十四、预备费</w:t>
            </w:r>
          </w:p>
        </w:tc>
        <w:tc>
          <w:tcPr>
            <w:tcW w:w="1412" w:type="dxa"/>
            <w:tcBorders>
              <w:top w:val="nil"/>
              <w:left w:val="nil"/>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二十五、其他支出</w:t>
            </w:r>
          </w:p>
        </w:tc>
        <w:tc>
          <w:tcPr>
            <w:tcW w:w="1412" w:type="dxa"/>
            <w:tcBorders>
              <w:top w:val="nil"/>
              <w:left w:val="nil"/>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二十六、转移性支出</w:t>
            </w:r>
          </w:p>
        </w:tc>
        <w:tc>
          <w:tcPr>
            <w:tcW w:w="1412" w:type="dxa"/>
            <w:tcBorders>
              <w:top w:val="nil"/>
              <w:left w:val="nil"/>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二十七、债务还本支出</w:t>
            </w:r>
          </w:p>
        </w:tc>
        <w:tc>
          <w:tcPr>
            <w:tcW w:w="1412" w:type="dxa"/>
            <w:tcBorders>
              <w:top w:val="nil"/>
              <w:left w:val="nil"/>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二十八、债务付息支出</w:t>
            </w:r>
          </w:p>
        </w:tc>
        <w:tc>
          <w:tcPr>
            <w:tcW w:w="1412" w:type="dxa"/>
            <w:tcBorders>
              <w:top w:val="nil"/>
              <w:left w:val="nil"/>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二十九、债务发行费用支出</w:t>
            </w:r>
          </w:p>
        </w:tc>
        <w:tc>
          <w:tcPr>
            <w:tcW w:w="1412" w:type="dxa"/>
            <w:tcBorders>
              <w:top w:val="nil"/>
              <w:left w:val="nil"/>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三十、抗疫特别国债安排的支出</w:t>
            </w:r>
          </w:p>
        </w:tc>
        <w:tc>
          <w:tcPr>
            <w:tcW w:w="1412" w:type="dxa"/>
            <w:tcBorders>
              <w:top w:val="nil"/>
              <w:left w:val="nil"/>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本年收入合计</w:t>
            </w:r>
          </w:p>
        </w:tc>
        <w:tc>
          <w:tcPr>
            <w:tcW w:w="1600" w:type="dxa"/>
            <w:tcBorders>
              <w:top w:val="nil"/>
              <w:left w:val="single" w:color="000000" w:sz="4" w:space="0"/>
              <w:bottom w:val="single" w:color="auto" w:sz="4" w:space="0"/>
              <w:right w:val="single" w:color="000000" w:sz="4" w:space="0"/>
            </w:tcBorders>
            <w:shd w:val="clear" w:color="CCCCFF" w:fill="FFFFFF"/>
            <w:vAlign w:val="center"/>
          </w:tcPr>
          <w:p>
            <w:pPr>
              <w:widowControl/>
              <w:jc w:val="right"/>
              <w:rPr>
                <w:rFonts w:ascii="宋体" w:hAnsi="宋体" w:cs="Arial"/>
                <w:b/>
                <w:color w:val="000000"/>
                <w:kern w:val="0"/>
                <w:sz w:val="18"/>
                <w:szCs w:val="18"/>
              </w:rPr>
            </w:pPr>
            <w:r>
              <w:rPr>
                <w:rFonts w:ascii="宋体" w:hAnsi="宋体"/>
                <w:sz w:val="18"/>
                <w:szCs w:val="18"/>
              </w:rPr>
              <w:t>2,556.49</w:t>
            </w:r>
          </w:p>
        </w:tc>
        <w:tc>
          <w:tcPr>
            <w:tcW w:w="323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本年支出合计</w:t>
            </w:r>
          </w:p>
        </w:tc>
        <w:tc>
          <w:tcPr>
            <w:tcW w:w="1412" w:type="dxa"/>
            <w:tcBorders>
              <w:top w:val="nil"/>
              <w:left w:val="nil"/>
              <w:bottom w:val="single" w:color="auto" w:sz="4" w:space="0"/>
              <w:right w:val="nil"/>
            </w:tcBorders>
            <w:shd w:val="clear" w:color="CCCCFF" w:fill="FFFFFF"/>
          </w:tcPr>
          <w:p>
            <w:pPr>
              <w:jc w:val="right"/>
              <w:rPr>
                <w:rFonts w:ascii="宋体" w:hAnsi="宋体"/>
                <w:sz w:val="18"/>
                <w:szCs w:val="18"/>
              </w:rPr>
            </w:pPr>
            <w:r>
              <w:rPr>
                <w:rFonts w:ascii="宋体" w:hAnsi="宋体"/>
                <w:sz w:val="18"/>
                <w:szCs w:val="18"/>
              </w:rPr>
              <w:t>2,980.24</w:t>
            </w: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十、上年结转</w:t>
            </w:r>
          </w:p>
        </w:tc>
        <w:tc>
          <w:tcPr>
            <w:tcW w:w="1600" w:type="dxa"/>
            <w:tcBorders>
              <w:top w:val="nil"/>
              <w:left w:val="single" w:color="000000" w:sz="4" w:space="0"/>
              <w:bottom w:val="single" w:color="auto" w:sz="4" w:space="0"/>
              <w:right w:val="single" w:color="000000" w:sz="4" w:space="0"/>
            </w:tcBorders>
            <w:shd w:val="clear" w:color="auto" w:fill="FFFFFF"/>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423.75</w:t>
            </w: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二十九、结转下年</w:t>
            </w:r>
          </w:p>
        </w:tc>
        <w:tc>
          <w:tcPr>
            <w:tcW w:w="1412" w:type="dxa"/>
            <w:tcBorders>
              <w:top w:val="nil"/>
              <w:left w:val="nil"/>
              <w:bottom w:val="single" w:color="auto" w:sz="4" w:space="0"/>
              <w:right w:val="nil"/>
            </w:tcBorders>
            <w:shd w:val="clear" w:color="CCCCFF" w:fill="FFFFFF"/>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十一、上年结余</w:t>
            </w:r>
          </w:p>
        </w:tc>
        <w:tc>
          <w:tcPr>
            <w:tcW w:w="1600" w:type="dxa"/>
            <w:tcBorders>
              <w:top w:val="nil"/>
              <w:left w:val="single" w:color="000000" w:sz="4" w:space="0"/>
              <w:bottom w:val="single" w:color="auto" w:sz="4" w:space="0"/>
              <w:right w:val="single" w:color="000000" w:sz="4" w:space="0"/>
            </w:tcBorders>
            <w:shd w:val="clear" w:color="auto" w:fill="FFFFFF"/>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vAlign w:val="bottom"/>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single" w:color="auto" w:sz="4" w:space="0"/>
              <w:left w:val="nil"/>
              <w:bottom w:val="single" w:color="auto" w:sz="4" w:space="0"/>
              <w:right w:val="nil"/>
            </w:tcBorders>
            <w:shd w:val="clear" w:color="auto" w:fill="auto"/>
            <w:vAlign w:val="bottom"/>
          </w:tcPr>
          <w:p>
            <w:pPr>
              <w:widowControl/>
              <w:jc w:val="left"/>
              <w:rPr>
                <w:rFonts w:ascii="宋体" w:hAnsi="宋体" w:cs="Arial"/>
                <w:color w:val="000000"/>
                <w:kern w:val="0"/>
                <w:sz w:val="18"/>
                <w:szCs w:val="18"/>
              </w:rPr>
            </w:pPr>
          </w:p>
        </w:tc>
        <w:tc>
          <w:tcPr>
            <w:tcW w:w="1600" w:type="dxa"/>
            <w:tcBorders>
              <w:top w:val="nil"/>
              <w:left w:val="single" w:color="000000" w:sz="4" w:space="0"/>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236" w:type="dxa"/>
            <w:tcBorders>
              <w:top w:val="nil"/>
              <w:left w:val="nil"/>
              <w:bottom w:val="single" w:color="auto" w:sz="4" w:space="0"/>
              <w:right w:val="single" w:color="000000" w:sz="4" w:space="0"/>
            </w:tcBorders>
            <w:shd w:val="clear" w:color="auto" w:fill="auto"/>
            <w:vAlign w:val="bottom"/>
          </w:tcPr>
          <w:p>
            <w:pPr>
              <w:widowControl/>
              <w:jc w:val="left"/>
              <w:rPr>
                <w:rFonts w:ascii="宋体" w:hAnsi="宋体" w:cs="Arial"/>
                <w:color w:val="000000"/>
                <w:kern w:val="0"/>
                <w:sz w:val="18"/>
                <w:szCs w:val="18"/>
              </w:rPr>
            </w:pPr>
          </w:p>
        </w:tc>
        <w:tc>
          <w:tcPr>
            <w:tcW w:w="1412" w:type="dxa"/>
            <w:tcBorders>
              <w:top w:val="nil"/>
              <w:left w:val="nil"/>
              <w:bottom w:val="single" w:color="auto" w:sz="4" w:space="0"/>
              <w:right w:val="nil"/>
            </w:tcBorders>
            <w:shd w:val="clear" w:color="auto" w:fill="auto"/>
            <w:vAlign w:val="bottom"/>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3368" w:type="dxa"/>
            <w:tcBorders>
              <w:top w:val="nil"/>
              <w:left w:val="nil"/>
              <w:bottom w:val="single" w:color="auto"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收入总计</w:t>
            </w:r>
          </w:p>
        </w:tc>
        <w:tc>
          <w:tcPr>
            <w:tcW w:w="1600" w:type="dxa"/>
            <w:tcBorders>
              <w:top w:val="nil"/>
              <w:left w:val="single" w:color="000000" w:sz="4" w:space="0"/>
              <w:bottom w:val="single" w:color="auto" w:sz="4" w:space="0"/>
              <w:right w:val="single" w:color="000000" w:sz="4" w:space="0"/>
            </w:tcBorders>
            <w:shd w:val="clear" w:color="CCCCFF" w:fill="FFFFFF"/>
            <w:vAlign w:val="center"/>
          </w:tcPr>
          <w:p>
            <w:pPr>
              <w:widowControl/>
              <w:jc w:val="right"/>
              <w:rPr>
                <w:rFonts w:ascii="宋体" w:hAnsi="宋体" w:cs="Arial"/>
                <w:b/>
                <w:color w:val="000000"/>
                <w:kern w:val="0"/>
                <w:sz w:val="18"/>
                <w:szCs w:val="18"/>
              </w:rPr>
            </w:pPr>
            <w:r>
              <w:rPr>
                <w:rFonts w:ascii="宋体" w:hAnsi="宋体"/>
                <w:sz w:val="18"/>
                <w:szCs w:val="18"/>
              </w:rPr>
              <w:t>2,980.24</w:t>
            </w:r>
          </w:p>
        </w:tc>
        <w:tc>
          <w:tcPr>
            <w:tcW w:w="3236" w:type="dxa"/>
            <w:tcBorders>
              <w:top w:val="nil"/>
              <w:left w:val="nil"/>
              <w:bottom w:val="single" w:color="auto"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支出总计</w:t>
            </w:r>
          </w:p>
        </w:tc>
        <w:tc>
          <w:tcPr>
            <w:tcW w:w="1412" w:type="dxa"/>
            <w:tcBorders>
              <w:top w:val="nil"/>
              <w:left w:val="single" w:color="000000" w:sz="4" w:space="0"/>
              <w:bottom w:val="single" w:color="auto" w:sz="4" w:space="0"/>
              <w:right w:val="nil"/>
            </w:tcBorders>
            <w:shd w:val="clear" w:color="CCCCFF" w:fill="FFFFFF"/>
            <w:vAlign w:val="center"/>
          </w:tcPr>
          <w:p>
            <w:pPr>
              <w:widowControl/>
              <w:jc w:val="right"/>
              <w:rPr>
                <w:rFonts w:ascii="宋体" w:hAnsi="宋体" w:cs="Arial"/>
                <w:b/>
                <w:color w:val="000000"/>
                <w:kern w:val="0"/>
                <w:sz w:val="18"/>
                <w:szCs w:val="18"/>
              </w:rPr>
            </w:pPr>
            <w:r>
              <w:rPr>
                <w:rFonts w:ascii="宋体" w:hAnsi="宋体"/>
                <w:sz w:val="18"/>
                <w:szCs w:val="18"/>
              </w:rPr>
              <w:t>2,980.24</w:t>
            </w:r>
          </w:p>
        </w:tc>
      </w:tr>
    </w:tbl>
    <w:p>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表二、单位收入总体情况表</w:t>
      </w:r>
    </w:p>
    <w:p>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8"/>
        <w:tblW w:w="9588" w:type="dxa"/>
        <w:jc w:val="center"/>
        <w:tblInd w:w="0" w:type="dxa"/>
        <w:tblLayout w:type="fixed"/>
        <w:tblCellMar>
          <w:top w:w="0" w:type="dxa"/>
          <w:left w:w="108" w:type="dxa"/>
          <w:bottom w:w="0" w:type="dxa"/>
          <w:right w:w="108" w:type="dxa"/>
        </w:tblCellMar>
      </w:tblPr>
      <w:tblGrid>
        <w:gridCol w:w="6612"/>
        <w:gridCol w:w="2976"/>
      </w:tblGrid>
      <w:tr>
        <w:tblPrEx>
          <w:tblLayout w:type="fixed"/>
          <w:tblCellMar>
            <w:top w:w="0" w:type="dxa"/>
            <w:left w:w="108" w:type="dxa"/>
            <w:bottom w:w="0" w:type="dxa"/>
            <w:right w:w="108" w:type="dxa"/>
          </w:tblCellMar>
        </w:tblPrEx>
        <w:trPr>
          <w:trHeight w:val="20" w:hRule="atLeast"/>
          <w:tblHeader/>
          <w:jc w:val="center"/>
        </w:trPr>
        <w:tc>
          <w:tcPr>
            <w:tcW w:w="6612"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2976"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r>
      <w:tr>
        <w:tblPrEx>
          <w:tblLayout w:type="fixed"/>
          <w:tblCellMar>
            <w:top w:w="0" w:type="dxa"/>
            <w:left w:w="108" w:type="dxa"/>
            <w:bottom w:w="0" w:type="dxa"/>
            <w:right w:w="108" w:type="dxa"/>
          </w:tblCellMar>
        </w:tblPrEx>
        <w:trPr>
          <w:trHeight w:val="20" w:hRule="atLeast"/>
          <w:tblHeader/>
          <w:jc w:val="center"/>
        </w:trPr>
        <w:tc>
          <w:tcPr>
            <w:tcW w:w="6612"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2976"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一、一般公共预算财政拨款收入</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r>
              <w:rPr>
                <w:rFonts w:hint="eastAsia" w:ascii="宋体" w:hAnsi="宋体"/>
                <w:b/>
                <w:color w:val="000000"/>
                <w:sz w:val="18"/>
                <w:szCs w:val="18"/>
              </w:rPr>
              <w:t>1,106.49</w:t>
            </w: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经费拨款</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r>
              <w:rPr>
                <w:rFonts w:hint="eastAsia" w:ascii="宋体" w:hAnsi="宋体"/>
                <w:color w:val="000000"/>
                <w:sz w:val="18"/>
                <w:szCs w:val="18"/>
              </w:rPr>
              <w:t>1,106.49</w:t>
            </w: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八、经营收入</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r>
              <w:rPr>
                <w:rFonts w:hint="eastAsia" w:ascii="宋体" w:hAnsi="宋体"/>
                <w:b/>
                <w:color w:val="000000"/>
                <w:sz w:val="18"/>
                <w:szCs w:val="18"/>
              </w:rPr>
              <w:t>1,450.00</w:t>
            </w: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 xml:space="preserve">        本年收入合计</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r>
              <w:rPr>
                <w:rFonts w:hint="eastAsia" w:ascii="宋体" w:hAnsi="宋体"/>
                <w:b/>
                <w:color w:val="000000"/>
                <w:sz w:val="18"/>
                <w:szCs w:val="18"/>
              </w:rPr>
              <w:t>2,556.49</w:t>
            </w: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十、上年结转</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r>
              <w:rPr>
                <w:rFonts w:hint="eastAsia" w:ascii="宋体" w:hAnsi="宋体"/>
                <w:b/>
                <w:color w:val="000000"/>
                <w:sz w:val="18"/>
                <w:szCs w:val="18"/>
              </w:rPr>
              <w:t>423.75</w:t>
            </w: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 xml:space="preserve">    财政性资金结转</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r>
              <w:rPr>
                <w:rFonts w:hint="eastAsia" w:ascii="宋体" w:hAnsi="宋体"/>
                <w:b/>
                <w:color w:val="000000"/>
                <w:sz w:val="18"/>
                <w:szCs w:val="18"/>
              </w:rPr>
              <w:t>423.75</w:t>
            </w: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一般公共预算收入结转</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r>
              <w:rPr>
                <w:rFonts w:hint="eastAsia" w:ascii="宋体" w:hAnsi="宋体"/>
                <w:color w:val="000000"/>
                <w:sz w:val="18"/>
                <w:szCs w:val="18"/>
              </w:rPr>
              <w:t>423.75</w:t>
            </w: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政府性基金预算收入结转</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国有资本经营收入结转</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 xml:space="preserve">    非财政性资金结转</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 xml:space="preserve">    教育专户结转</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十一、上年结余</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 xml:space="preserve">    财政性资金结余</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一般公共预算收入结余</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政府性基金预算收入结余</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color w:val="000000"/>
                <w:sz w:val="18"/>
                <w:szCs w:val="18"/>
              </w:rPr>
              <w:t xml:space="preserve">        国有资本经营收入结余</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 xml:space="preserve">    非财政性资金结余</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p>
        </w:tc>
      </w:tr>
      <w:tr>
        <w:tblPrEx>
          <w:tblLayout w:type="fixed"/>
          <w:tblCellMar>
            <w:top w:w="0" w:type="dxa"/>
            <w:left w:w="108" w:type="dxa"/>
            <w:bottom w:w="0" w:type="dxa"/>
            <w:right w:w="108" w:type="dxa"/>
          </w:tblCellMar>
        </w:tblPrEx>
        <w:trPr>
          <w:trHeight w:val="20" w:hRule="atLeast"/>
          <w:jc w:val="center"/>
        </w:trPr>
        <w:tc>
          <w:tcPr>
            <w:tcW w:w="6612" w:type="dxa"/>
            <w:tcBorders>
              <w:top w:val="nil"/>
              <w:left w:val="nil"/>
              <w:bottom w:val="single" w:color="auto" w:sz="4" w:space="0"/>
              <w:right w:val="nil"/>
            </w:tcBorders>
            <w:shd w:val="clear" w:color="auto" w:fill="FFFFFF"/>
            <w:vAlign w:val="center"/>
          </w:tcPr>
          <w:p>
            <w:pPr>
              <w:widowControl/>
              <w:jc w:val="left"/>
              <w:rPr>
                <w:rFonts w:ascii="宋体" w:hAnsi="宋体" w:cs="Arial"/>
                <w:b/>
                <w:color w:val="000000"/>
                <w:kern w:val="0"/>
                <w:sz w:val="18"/>
                <w:szCs w:val="18"/>
              </w:rPr>
            </w:pPr>
            <w:r>
              <w:rPr>
                <w:rFonts w:hint="eastAsia" w:ascii="宋体" w:hAnsi="宋体"/>
                <w:b/>
                <w:color w:val="000000"/>
                <w:sz w:val="18"/>
                <w:szCs w:val="18"/>
              </w:rPr>
              <w:t xml:space="preserve">        收入合计</w:t>
            </w:r>
          </w:p>
        </w:tc>
        <w:tc>
          <w:tcPr>
            <w:tcW w:w="2976" w:type="dxa"/>
            <w:tcBorders>
              <w:top w:val="nil"/>
              <w:left w:val="single" w:color="000000"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r>
              <w:rPr>
                <w:rFonts w:hint="eastAsia" w:ascii="宋体" w:hAnsi="宋体"/>
                <w:b/>
                <w:color w:val="000000"/>
                <w:sz w:val="18"/>
                <w:szCs w:val="18"/>
              </w:rPr>
              <w:t>2,980.24</w:t>
            </w:r>
          </w:p>
        </w:tc>
      </w:tr>
    </w:tbl>
    <w:p>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表三、单位支出总体情况表</w:t>
      </w:r>
    </w:p>
    <w:p>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8"/>
        <w:tblW w:w="9712" w:type="dxa"/>
        <w:jc w:val="center"/>
        <w:tblInd w:w="0" w:type="dxa"/>
        <w:tblLayout w:type="fixed"/>
        <w:tblCellMar>
          <w:top w:w="0" w:type="dxa"/>
          <w:left w:w="108" w:type="dxa"/>
          <w:bottom w:w="0" w:type="dxa"/>
          <w:right w:w="108" w:type="dxa"/>
        </w:tblCellMar>
      </w:tblPr>
      <w:tblGrid>
        <w:gridCol w:w="3588"/>
        <w:gridCol w:w="1531"/>
        <w:gridCol w:w="1531"/>
        <w:gridCol w:w="1531"/>
        <w:gridCol w:w="1531"/>
      </w:tblGrid>
      <w:tr>
        <w:tblPrEx>
          <w:tblLayout w:type="fixed"/>
          <w:tblCellMar>
            <w:top w:w="0" w:type="dxa"/>
            <w:left w:w="108" w:type="dxa"/>
            <w:bottom w:w="0" w:type="dxa"/>
            <w:right w:w="108" w:type="dxa"/>
          </w:tblCellMar>
        </w:tblPrEx>
        <w:trPr>
          <w:trHeight w:val="20" w:hRule="atLeast"/>
          <w:tblHeader/>
          <w:jc w:val="center"/>
        </w:trPr>
        <w:tc>
          <w:tcPr>
            <w:tcW w:w="3588"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支出功能分类科目</w:t>
            </w:r>
          </w:p>
        </w:tc>
        <w:tc>
          <w:tcPr>
            <w:tcW w:w="1531"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支出合计</w:t>
            </w:r>
          </w:p>
        </w:tc>
        <w:tc>
          <w:tcPr>
            <w:tcW w:w="1531"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531" w:type="dxa"/>
            <w:tcBorders>
              <w:top w:val="single" w:color="000000" w:sz="4" w:space="0"/>
              <w:left w:val="nil"/>
              <w:bottom w:val="single" w:color="000000"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531" w:type="dxa"/>
            <w:tcBorders>
              <w:top w:val="single" w:color="000000" w:sz="4" w:space="0"/>
              <w:left w:val="single" w:color="000000" w:sz="4" w:space="0"/>
              <w:bottom w:val="single" w:color="000000"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上年结转</w:t>
            </w:r>
          </w:p>
        </w:tc>
      </w:tr>
      <w:tr>
        <w:tblPrEx>
          <w:tblLayout w:type="fixed"/>
          <w:tblCellMar>
            <w:top w:w="0" w:type="dxa"/>
            <w:left w:w="108" w:type="dxa"/>
            <w:bottom w:w="0" w:type="dxa"/>
            <w:right w:w="108" w:type="dxa"/>
          </w:tblCellMar>
        </w:tblPrEx>
        <w:trPr>
          <w:trHeight w:val="20" w:hRule="atLeast"/>
          <w:tblHeader/>
          <w:jc w:val="center"/>
        </w:trPr>
        <w:tc>
          <w:tcPr>
            <w:tcW w:w="358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5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53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531" w:type="dxa"/>
            <w:tcBorders>
              <w:top w:val="nil"/>
              <w:left w:val="nil"/>
              <w:bottom w:val="single" w:color="000000"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531" w:type="dxa"/>
            <w:tcBorders>
              <w:top w:val="single" w:color="auto" w:sz="4" w:space="0"/>
              <w:left w:val="single" w:color="auto" w:sz="4" w:space="0"/>
              <w:bottom w:val="single" w:color="auto"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总计</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2,980.24</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2,166.49</w:t>
            </w:r>
          </w:p>
        </w:tc>
        <w:tc>
          <w:tcPr>
            <w:tcW w:w="1531" w:type="dxa"/>
            <w:tcBorders>
              <w:top w:val="nil"/>
              <w:left w:val="nil"/>
              <w:bottom w:val="single" w:color="000000" w:sz="4" w:space="0"/>
              <w:right w:val="nil"/>
            </w:tcBorders>
            <w:shd w:val="clear" w:color="auto" w:fill="FFFFFF"/>
          </w:tcPr>
          <w:p>
            <w:pPr>
              <w:jc w:val="right"/>
              <w:rPr>
                <w:rFonts w:ascii="宋体" w:hAnsi="宋体"/>
                <w:b/>
                <w:sz w:val="18"/>
                <w:szCs w:val="18"/>
              </w:rPr>
            </w:pPr>
            <w:r>
              <w:rPr>
                <w:rFonts w:ascii="宋体" w:hAnsi="宋体"/>
                <w:b/>
                <w:sz w:val="18"/>
                <w:szCs w:val="18"/>
              </w:rPr>
              <w:t>390.00</w:t>
            </w: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b/>
                <w:sz w:val="18"/>
                <w:szCs w:val="18"/>
              </w:rPr>
            </w:pPr>
            <w:r>
              <w:rPr>
                <w:rFonts w:ascii="宋体" w:hAnsi="宋体"/>
                <w:b/>
                <w:sz w:val="18"/>
                <w:szCs w:val="18"/>
              </w:rPr>
              <w:t>423.75</w:t>
            </w: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[205]教育支出</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2,242.71</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1,728.96</w:t>
            </w:r>
          </w:p>
        </w:tc>
        <w:tc>
          <w:tcPr>
            <w:tcW w:w="1531" w:type="dxa"/>
            <w:tcBorders>
              <w:top w:val="nil"/>
              <w:left w:val="nil"/>
              <w:bottom w:val="single" w:color="000000" w:sz="4" w:space="0"/>
              <w:right w:val="nil"/>
            </w:tcBorders>
            <w:shd w:val="clear" w:color="auto" w:fill="FFFFFF"/>
          </w:tcPr>
          <w:p>
            <w:pPr>
              <w:jc w:val="right"/>
              <w:rPr>
                <w:rFonts w:ascii="宋体" w:hAnsi="宋体"/>
                <w:b/>
                <w:sz w:val="18"/>
                <w:szCs w:val="18"/>
              </w:rPr>
            </w:pPr>
            <w:r>
              <w:rPr>
                <w:rFonts w:ascii="宋体" w:hAnsi="宋体"/>
                <w:b/>
                <w:sz w:val="18"/>
                <w:szCs w:val="18"/>
              </w:rPr>
              <w:t>90.00</w:t>
            </w: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b/>
                <w:sz w:val="18"/>
                <w:szCs w:val="18"/>
              </w:rPr>
            </w:pPr>
            <w:r>
              <w:rPr>
                <w:rFonts w:ascii="宋体" w:hAnsi="宋体"/>
                <w:b/>
                <w:sz w:val="18"/>
                <w:szCs w:val="18"/>
              </w:rPr>
              <w:t>423.75</w:t>
            </w: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[20501]教育管理事务</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1,791.88</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1,728.96</w:t>
            </w:r>
          </w:p>
        </w:tc>
        <w:tc>
          <w:tcPr>
            <w:tcW w:w="1531" w:type="dxa"/>
            <w:tcBorders>
              <w:top w:val="nil"/>
              <w:left w:val="nil"/>
              <w:bottom w:val="single" w:color="000000" w:sz="4" w:space="0"/>
              <w:right w:val="nil"/>
            </w:tcBorders>
            <w:shd w:val="clear" w:color="auto" w:fill="FFFFFF"/>
          </w:tcPr>
          <w:p>
            <w:pPr>
              <w:jc w:val="right"/>
              <w:rPr>
                <w:rFonts w:ascii="宋体" w:hAnsi="宋体"/>
                <w:b/>
                <w:sz w:val="18"/>
                <w:szCs w:val="18"/>
              </w:rPr>
            </w:pPr>
            <w:r>
              <w:rPr>
                <w:rFonts w:ascii="宋体" w:hAnsi="宋体"/>
                <w:b/>
                <w:sz w:val="18"/>
                <w:szCs w:val="18"/>
              </w:rPr>
              <w:t>40.00</w:t>
            </w: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b/>
                <w:sz w:val="18"/>
                <w:szCs w:val="18"/>
              </w:rPr>
            </w:pPr>
            <w:r>
              <w:rPr>
                <w:rFonts w:ascii="宋体" w:hAnsi="宋体"/>
                <w:b/>
                <w:sz w:val="18"/>
                <w:szCs w:val="18"/>
              </w:rPr>
              <w:t>22.92</w:t>
            </w: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[2050199]其他教育管理事务支出</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1,791.88</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1,728.96</w:t>
            </w:r>
          </w:p>
        </w:tc>
        <w:tc>
          <w:tcPr>
            <w:tcW w:w="1531" w:type="dxa"/>
            <w:tcBorders>
              <w:top w:val="nil"/>
              <w:left w:val="nil"/>
              <w:bottom w:val="single" w:color="000000" w:sz="4" w:space="0"/>
              <w:right w:val="nil"/>
            </w:tcBorders>
            <w:shd w:val="clear" w:color="auto" w:fill="FFFFFF"/>
          </w:tcPr>
          <w:p>
            <w:pPr>
              <w:jc w:val="right"/>
              <w:rPr>
                <w:rFonts w:ascii="宋体" w:hAnsi="宋体"/>
                <w:sz w:val="18"/>
                <w:szCs w:val="18"/>
              </w:rPr>
            </w:pPr>
            <w:r>
              <w:rPr>
                <w:rFonts w:ascii="宋体" w:hAnsi="宋体"/>
                <w:sz w:val="18"/>
                <w:szCs w:val="18"/>
              </w:rPr>
              <w:t>40.00</w:t>
            </w: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sz w:val="18"/>
                <w:szCs w:val="18"/>
              </w:rPr>
            </w:pPr>
            <w:r>
              <w:rPr>
                <w:rFonts w:ascii="宋体" w:hAnsi="宋体"/>
                <w:sz w:val="18"/>
                <w:szCs w:val="18"/>
              </w:rPr>
              <w:t>22.92</w:t>
            </w: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[20502]普通教育</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110.00</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p>
        </w:tc>
        <w:tc>
          <w:tcPr>
            <w:tcW w:w="1531" w:type="dxa"/>
            <w:tcBorders>
              <w:top w:val="nil"/>
              <w:left w:val="nil"/>
              <w:bottom w:val="single" w:color="000000" w:sz="4" w:space="0"/>
              <w:right w:val="nil"/>
            </w:tcBorders>
            <w:shd w:val="clear" w:color="auto" w:fill="FFFFFF"/>
          </w:tcPr>
          <w:p>
            <w:pPr>
              <w:jc w:val="right"/>
              <w:rPr>
                <w:rFonts w:ascii="宋体" w:hAnsi="宋体"/>
                <w:b/>
                <w:sz w:val="18"/>
                <w:szCs w:val="18"/>
              </w:rPr>
            </w:pPr>
            <w:r>
              <w:rPr>
                <w:rFonts w:ascii="宋体" w:hAnsi="宋体"/>
                <w:b/>
                <w:sz w:val="18"/>
                <w:szCs w:val="18"/>
              </w:rPr>
              <w:t>50.00</w:t>
            </w: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b/>
                <w:sz w:val="18"/>
                <w:szCs w:val="18"/>
              </w:rPr>
            </w:pPr>
            <w:r>
              <w:rPr>
                <w:rFonts w:ascii="宋体" w:hAnsi="宋体"/>
                <w:b/>
                <w:sz w:val="18"/>
                <w:szCs w:val="18"/>
              </w:rPr>
              <w:t>60.00</w:t>
            </w: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[2050299]其他普通教育支出</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110.00</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p>
        </w:tc>
        <w:tc>
          <w:tcPr>
            <w:tcW w:w="1531" w:type="dxa"/>
            <w:tcBorders>
              <w:top w:val="nil"/>
              <w:left w:val="nil"/>
              <w:bottom w:val="single" w:color="000000" w:sz="4" w:space="0"/>
              <w:right w:val="nil"/>
            </w:tcBorders>
            <w:shd w:val="clear" w:color="auto" w:fill="FFFFFF"/>
          </w:tcPr>
          <w:p>
            <w:pPr>
              <w:jc w:val="right"/>
              <w:rPr>
                <w:rFonts w:ascii="宋体" w:hAnsi="宋体"/>
                <w:sz w:val="18"/>
                <w:szCs w:val="18"/>
              </w:rPr>
            </w:pPr>
            <w:r>
              <w:rPr>
                <w:rFonts w:ascii="宋体" w:hAnsi="宋体"/>
                <w:sz w:val="18"/>
                <w:szCs w:val="18"/>
              </w:rPr>
              <w:t>50.00</w:t>
            </w: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sz w:val="18"/>
                <w:szCs w:val="18"/>
              </w:rPr>
            </w:pPr>
            <w:r>
              <w:rPr>
                <w:rFonts w:ascii="宋体" w:hAnsi="宋体"/>
                <w:sz w:val="18"/>
                <w:szCs w:val="18"/>
              </w:rPr>
              <w:t>60.00</w:t>
            </w: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[20508]进修及培训</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340.83</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p>
        </w:tc>
        <w:tc>
          <w:tcPr>
            <w:tcW w:w="1531" w:type="dxa"/>
            <w:tcBorders>
              <w:top w:val="nil"/>
              <w:left w:val="nil"/>
              <w:bottom w:val="single" w:color="000000" w:sz="4" w:space="0"/>
              <w:right w:val="nil"/>
            </w:tcBorders>
            <w:shd w:val="clear" w:color="auto" w:fill="FFFFFF"/>
          </w:tcPr>
          <w:p>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b/>
                <w:sz w:val="18"/>
                <w:szCs w:val="18"/>
              </w:rPr>
            </w:pPr>
            <w:r>
              <w:rPr>
                <w:rFonts w:ascii="宋体" w:hAnsi="宋体"/>
                <w:b/>
                <w:sz w:val="18"/>
                <w:szCs w:val="18"/>
              </w:rPr>
              <w:t>340.83</w:t>
            </w: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[2050803]培训支出</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340.83</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p>
        </w:tc>
        <w:tc>
          <w:tcPr>
            <w:tcW w:w="1531" w:type="dxa"/>
            <w:tcBorders>
              <w:top w:val="nil"/>
              <w:left w:val="nil"/>
              <w:bottom w:val="single" w:color="000000" w:sz="4" w:space="0"/>
              <w:right w:val="nil"/>
            </w:tcBorders>
            <w:shd w:val="clear" w:color="auto" w:fill="FFFFFF"/>
          </w:tcPr>
          <w:p>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sz w:val="18"/>
                <w:szCs w:val="18"/>
              </w:rPr>
            </w:pPr>
            <w:r>
              <w:rPr>
                <w:rFonts w:ascii="宋体" w:hAnsi="宋体"/>
                <w:sz w:val="18"/>
                <w:szCs w:val="18"/>
              </w:rPr>
              <w:t>340.83</w:t>
            </w: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[206]科学技术支出</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300.00</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p>
        </w:tc>
        <w:tc>
          <w:tcPr>
            <w:tcW w:w="1531" w:type="dxa"/>
            <w:tcBorders>
              <w:top w:val="nil"/>
              <w:left w:val="nil"/>
              <w:bottom w:val="single" w:color="000000" w:sz="4" w:space="0"/>
              <w:right w:val="nil"/>
            </w:tcBorders>
            <w:shd w:val="clear" w:color="auto" w:fill="FFFFFF"/>
          </w:tcPr>
          <w:p>
            <w:pPr>
              <w:jc w:val="right"/>
              <w:rPr>
                <w:rFonts w:ascii="宋体" w:hAnsi="宋体"/>
                <w:b/>
                <w:sz w:val="18"/>
                <w:szCs w:val="18"/>
              </w:rPr>
            </w:pPr>
            <w:r>
              <w:rPr>
                <w:rFonts w:ascii="宋体" w:hAnsi="宋体"/>
                <w:b/>
                <w:sz w:val="18"/>
                <w:szCs w:val="18"/>
              </w:rPr>
              <w:t>300.00</w:t>
            </w: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b/>
                <w:sz w:val="18"/>
                <w:szCs w:val="18"/>
              </w:rPr>
            </w:pP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[20605]科技条件与服务</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300.00</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p>
        </w:tc>
        <w:tc>
          <w:tcPr>
            <w:tcW w:w="1531" w:type="dxa"/>
            <w:tcBorders>
              <w:top w:val="nil"/>
              <w:left w:val="nil"/>
              <w:bottom w:val="single" w:color="000000" w:sz="4" w:space="0"/>
              <w:right w:val="nil"/>
            </w:tcBorders>
            <w:shd w:val="clear" w:color="auto" w:fill="FFFFFF"/>
          </w:tcPr>
          <w:p>
            <w:pPr>
              <w:jc w:val="right"/>
              <w:rPr>
                <w:rFonts w:ascii="宋体" w:hAnsi="宋体"/>
                <w:b/>
                <w:sz w:val="18"/>
                <w:szCs w:val="18"/>
              </w:rPr>
            </w:pPr>
            <w:r>
              <w:rPr>
                <w:rFonts w:ascii="宋体" w:hAnsi="宋体"/>
                <w:b/>
                <w:sz w:val="18"/>
                <w:szCs w:val="18"/>
              </w:rPr>
              <w:t>300.00</w:t>
            </w: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b/>
                <w:sz w:val="18"/>
                <w:szCs w:val="18"/>
              </w:rPr>
            </w:pP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[2060502]技术创新服务体系</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300.00</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p>
        </w:tc>
        <w:tc>
          <w:tcPr>
            <w:tcW w:w="1531" w:type="dxa"/>
            <w:tcBorders>
              <w:top w:val="nil"/>
              <w:left w:val="nil"/>
              <w:bottom w:val="single" w:color="000000" w:sz="4" w:space="0"/>
              <w:right w:val="nil"/>
            </w:tcBorders>
            <w:shd w:val="clear" w:color="auto" w:fill="FFFFFF"/>
          </w:tcPr>
          <w:p>
            <w:pPr>
              <w:jc w:val="right"/>
              <w:rPr>
                <w:rFonts w:ascii="宋体" w:hAnsi="宋体"/>
                <w:sz w:val="18"/>
                <w:szCs w:val="18"/>
              </w:rPr>
            </w:pPr>
            <w:r>
              <w:rPr>
                <w:rFonts w:ascii="宋体" w:hAnsi="宋体"/>
                <w:sz w:val="18"/>
                <w:szCs w:val="18"/>
              </w:rPr>
              <w:t>300.00</w:t>
            </w: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[208]社会保障和就业支出</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186.12</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186.12</w:t>
            </w:r>
          </w:p>
        </w:tc>
        <w:tc>
          <w:tcPr>
            <w:tcW w:w="1531" w:type="dxa"/>
            <w:tcBorders>
              <w:top w:val="nil"/>
              <w:left w:val="nil"/>
              <w:bottom w:val="single" w:color="000000" w:sz="4" w:space="0"/>
              <w:right w:val="nil"/>
            </w:tcBorders>
            <w:shd w:val="clear" w:color="auto" w:fill="FFFFFF"/>
          </w:tcPr>
          <w:p>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b/>
                <w:sz w:val="18"/>
                <w:szCs w:val="18"/>
              </w:rPr>
            </w:pP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[20805]行政事业单位养老支出</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185.38</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185.38</w:t>
            </w:r>
          </w:p>
        </w:tc>
        <w:tc>
          <w:tcPr>
            <w:tcW w:w="1531" w:type="dxa"/>
            <w:tcBorders>
              <w:top w:val="nil"/>
              <w:left w:val="nil"/>
              <w:bottom w:val="single" w:color="000000" w:sz="4" w:space="0"/>
              <w:right w:val="nil"/>
            </w:tcBorders>
            <w:shd w:val="clear" w:color="auto" w:fill="FFFFFF"/>
          </w:tcPr>
          <w:p>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b/>
                <w:sz w:val="18"/>
                <w:szCs w:val="18"/>
              </w:rPr>
            </w:pP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[2080502]事业单位离退休</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51.40</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51.40</w:t>
            </w:r>
          </w:p>
        </w:tc>
        <w:tc>
          <w:tcPr>
            <w:tcW w:w="1531" w:type="dxa"/>
            <w:tcBorders>
              <w:top w:val="nil"/>
              <w:left w:val="nil"/>
              <w:bottom w:val="single" w:color="000000" w:sz="4" w:space="0"/>
              <w:right w:val="nil"/>
            </w:tcBorders>
            <w:shd w:val="clear" w:color="auto" w:fill="FFFFFF"/>
          </w:tcPr>
          <w:p>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[2080505]机关事业单位基本养老保险缴费支出</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84.32</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84.32</w:t>
            </w:r>
          </w:p>
        </w:tc>
        <w:tc>
          <w:tcPr>
            <w:tcW w:w="1531" w:type="dxa"/>
            <w:tcBorders>
              <w:top w:val="nil"/>
              <w:left w:val="nil"/>
              <w:bottom w:val="single" w:color="000000" w:sz="4" w:space="0"/>
              <w:right w:val="nil"/>
            </w:tcBorders>
            <w:shd w:val="clear" w:color="auto" w:fill="FFFFFF"/>
          </w:tcPr>
          <w:p>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[2080506]机关事业单位职业年金缴费支出</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49.66</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49.66</w:t>
            </w:r>
          </w:p>
        </w:tc>
        <w:tc>
          <w:tcPr>
            <w:tcW w:w="1531" w:type="dxa"/>
            <w:tcBorders>
              <w:top w:val="nil"/>
              <w:left w:val="nil"/>
              <w:bottom w:val="single" w:color="000000" w:sz="4" w:space="0"/>
              <w:right w:val="nil"/>
            </w:tcBorders>
            <w:shd w:val="clear" w:color="auto" w:fill="FFFFFF"/>
          </w:tcPr>
          <w:p>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[20899]其他社会保障和就业支出</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0.74</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0.74</w:t>
            </w:r>
          </w:p>
        </w:tc>
        <w:tc>
          <w:tcPr>
            <w:tcW w:w="1531" w:type="dxa"/>
            <w:tcBorders>
              <w:top w:val="nil"/>
              <w:left w:val="nil"/>
              <w:bottom w:val="single" w:color="000000" w:sz="4" w:space="0"/>
              <w:right w:val="nil"/>
            </w:tcBorders>
            <w:shd w:val="clear" w:color="auto" w:fill="FFFFFF"/>
          </w:tcPr>
          <w:p>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b/>
                <w:sz w:val="18"/>
                <w:szCs w:val="18"/>
              </w:rPr>
            </w:pP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[2089999]其他社会保障和就业支出</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0.74</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0.74</w:t>
            </w:r>
          </w:p>
        </w:tc>
        <w:tc>
          <w:tcPr>
            <w:tcW w:w="1531" w:type="dxa"/>
            <w:tcBorders>
              <w:top w:val="nil"/>
              <w:left w:val="nil"/>
              <w:bottom w:val="single" w:color="000000" w:sz="4" w:space="0"/>
              <w:right w:val="nil"/>
            </w:tcBorders>
            <w:shd w:val="clear" w:color="auto" w:fill="FFFFFF"/>
          </w:tcPr>
          <w:p>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[210]卫生健康支出</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129.63</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129.63</w:t>
            </w:r>
          </w:p>
        </w:tc>
        <w:tc>
          <w:tcPr>
            <w:tcW w:w="1531" w:type="dxa"/>
            <w:tcBorders>
              <w:top w:val="nil"/>
              <w:left w:val="nil"/>
              <w:bottom w:val="single" w:color="000000" w:sz="4" w:space="0"/>
              <w:right w:val="nil"/>
            </w:tcBorders>
            <w:shd w:val="clear" w:color="auto" w:fill="FFFFFF"/>
          </w:tcPr>
          <w:p>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b/>
                <w:sz w:val="18"/>
                <w:szCs w:val="18"/>
              </w:rPr>
            </w:pP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[21011]行政事业单位医疗</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129.63</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129.63</w:t>
            </w:r>
          </w:p>
        </w:tc>
        <w:tc>
          <w:tcPr>
            <w:tcW w:w="1531" w:type="dxa"/>
            <w:tcBorders>
              <w:top w:val="nil"/>
              <w:left w:val="nil"/>
              <w:bottom w:val="single" w:color="000000" w:sz="4" w:space="0"/>
              <w:right w:val="nil"/>
            </w:tcBorders>
            <w:shd w:val="clear" w:color="auto" w:fill="FFFFFF"/>
          </w:tcPr>
          <w:p>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b/>
                <w:sz w:val="18"/>
                <w:szCs w:val="18"/>
              </w:rPr>
            </w:pP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[2101102]事业单位医疗</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84.80</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84.80</w:t>
            </w:r>
          </w:p>
        </w:tc>
        <w:tc>
          <w:tcPr>
            <w:tcW w:w="1531" w:type="dxa"/>
            <w:tcBorders>
              <w:top w:val="nil"/>
              <w:left w:val="nil"/>
              <w:bottom w:val="single" w:color="000000" w:sz="4" w:space="0"/>
              <w:right w:val="nil"/>
            </w:tcBorders>
            <w:shd w:val="clear" w:color="auto" w:fill="FFFFFF"/>
          </w:tcPr>
          <w:p>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[2101103]公务员医疗补助</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44.83</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44.83</w:t>
            </w:r>
          </w:p>
        </w:tc>
        <w:tc>
          <w:tcPr>
            <w:tcW w:w="1531" w:type="dxa"/>
            <w:tcBorders>
              <w:top w:val="nil"/>
              <w:left w:val="nil"/>
              <w:bottom w:val="single" w:color="000000" w:sz="4" w:space="0"/>
              <w:right w:val="nil"/>
            </w:tcBorders>
            <w:shd w:val="clear" w:color="auto" w:fill="FFFFFF"/>
          </w:tcPr>
          <w:p>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[221]住房保障支出</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121.78</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121.78</w:t>
            </w:r>
          </w:p>
        </w:tc>
        <w:tc>
          <w:tcPr>
            <w:tcW w:w="1531" w:type="dxa"/>
            <w:tcBorders>
              <w:top w:val="nil"/>
              <w:left w:val="nil"/>
              <w:bottom w:val="single" w:color="000000" w:sz="4" w:space="0"/>
              <w:right w:val="nil"/>
            </w:tcBorders>
            <w:shd w:val="clear" w:color="auto" w:fill="FFFFFF"/>
          </w:tcPr>
          <w:p>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b/>
                <w:sz w:val="18"/>
                <w:szCs w:val="18"/>
              </w:rPr>
            </w:pP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[22102]住房改革支出</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121.78</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b/>
                <w:sz w:val="18"/>
                <w:szCs w:val="18"/>
              </w:rPr>
            </w:pPr>
            <w:r>
              <w:rPr>
                <w:rFonts w:ascii="宋体" w:hAnsi="宋体"/>
                <w:b/>
                <w:sz w:val="18"/>
                <w:szCs w:val="18"/>
              </w:rPr>
              <w:t>121.78</w:t>
            </w:r>
          </w:p>
        </w:tc>
        <w:tc>
          <w:tcPr>
            <w:tcW w:w="1531" w:type="dxa"/>
            <w:tcBorders>
              <w:top w:val="nil"/>
              <w:left w:val="nil"/>
              <w:bottom w:val="single" w:color="000000" w:sz="4" w:space="0"/>
              <w:right w:val="nil"/>
            </w:tcBorders>
            <w:shd w:val="clear" w:color="auto" w:fill="FFFFFF"/>
          </w:tcPr>
          <w:p>
            <w:pPr>
              <w:jc w:val="right"/>
              <w:rPr>
                <w:rFonts w:ascii="宋体" w:hAnsi="宋体"/>
                <w:b/>
                <w:sz w:val="18"/>
                <w:szCs w:val="18"/>
              </w:rPr>
            </w:pP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b/>
                <w:sz w:val="18"/>
                <w:szCs w:val="18"/>
              </w:rPr>
            </w:pPr>
          </w:p>
        </w:tc>
      </w:tr>
      <w:tr>
        <w:tblPrEx>
          <w:tblLayout w:type="fixed"/>
          <w:tblCellMar>
            <w:top w:w="0" w:type="dxa"/>
            <w:left w:w="108" w:type="dxa"/>
            <w:bottom w:w="0" w:type="dxa"/>
            <w:right w:w="108" w:type="dxa"/>
          </w:tblCellMar>
        </w:tblPrEx>
        <w:trPr>
          <w:trHeight w:val="20" w:hRule="atLeast"/>
          <w:jc w:val="center"/>
        </w:trPr>
        <w:tc>
          <w:tcPr>
            <w:tcW w:w="358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[2210201]住房公积金</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121.78</w:t>
            </w:r>
          </w:p>
        </w:tc>
        <w:tc>
          <w:tcPr>
            <w:tcW w:w="1531"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121.78</w:t>
            </w:r>
          </w:p>
        </w:tc>
        <w:tc>
          <w:tcPr>
            <w:tcW w:w="1531" w:type="dxa"/>
            <w:tcBorders>
              <w:top w:val="nil"/>
              <w:left w:val="nil"/>
              <w:bottom w:val="single" w:color="000000" w:sz="4" w:space="0"/>
              <w:right w:val="nil"/>
            </w:tcBorders>
            <w:shd w:val="clear" w:color="auto" w:fill="FFFFFF"/>
          </w:tcPr>
          <w:p>
            <w:pPr>
              <w:jc w:val="right"/>
              <w:rPr>
                <w:rFonts w:ascii="宋体" w:hAnsi="宋体"/>
                <w:sz w:val="18"/>
                <w:szCs w:val="18"/>
              </w:rPr>
            </w:pPr>
          </w:p>
        </w:tc>
        <w:tc>
          <w:tcPr>
            <w:tcW w:w="1531" w:type="dxa"/>
            <w:tcBorders>
              <w:top w:val="nil"/>
              <w:left w:val="single" w:color="000000" w:sz="4" w:space="0"/>
              <w:bottom w:val="single" w:color="000000" w:sz="4" w:space="0"/>
              <w:right w:val="nil"/>
            </w:tcBorders>
            <w:shd w:val="clear" w:color="auto" w:fill="FFFFFF"/>
          </w:tcPr>
          <w:p>
            <w:pPr>
              <w:jc w:val="right"/>
              <w:rPr>
                <w:rFonts w:ascii="宋体" w:hAnsi="宋体"/>
                <w:sz w:val="18"/>
                <w:szCs w:val="18"/>
              </w:rPr>
            </w:pPr>
          </w:p>
        </w:tc>
      </w:tr>
    </w:tbl>
    <w:p>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表四、财政拨款收支总体情况表</w:t>
      </w:r>
    </w:p>
    <w:p>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8"/>
        <w:tblW w:w="9802" w:type="dxa"/>
        <w:jc w:val="center"/>
        <w:tblInd w:w="0" w:type="dxa"/>
        <w:tblLayout w:type="fixed"/>
        <w:tblCellMar>
          <w:top w:w="0" w:type="dxa"/>
          <w:left w:w="108" w:type="dxa"/>
          <w:bottom w:w="0" w:type="dxa"/>
          <w:right w:w="108" w:type="dxa"/>
        </w:tblCellMar>
      </w:tblPr>
      <w:tblGrid>
        <w:gridCol w:w="3195"/>
        <w:gridCol w:w="1363"/>
        <w:gridCol w:w="3882"/>
        <w:gridCol w:w="1362"/>
      </w:tblGrid>
      <w:tr>
        <w:tblPrEx>
          <w:tblLayout w:type="fixed"/>
          <w:tblCellMar>
            <w:top w:w="0" w:type="dxa"/>
            <w:left w:w="108" w:type="dxa"/>
            <w:bottom w:w="0" w:type="dxa"/>
            <w:right w:w="108" w:type="dxa"/>
          </w:tblCellMar>
        </w:tblPrEx>
        <w:trPr>
          <w:trHeight w:val="20" w:hRule="atLeast"/>
          <w:jc w:val="center"/>
        </w:trPr>
        <w:tc>
          <w:tcPr>
            <w:tcW w:w="4558"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w:t>
            </w:r>
          </w:p>
        </w:tc>
        <w:tc>
          <w:tcPr>
            <w:tcW w:w="5244" w:type="dxa"/>
            <w:gridSpan w:val="2"/>
            <w:tcBorders>
              <w:top w:val="single" w:color="000000" w:sz="4" w:space="0"/>
              <w:left w:val="nil"/>
              <w:bottom w:val="single" w:color="000000"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w:t>
            </w: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36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预算数</w:t>
            </w:r>
          </w:p>
        </w:tc>
        <w:tc>
          <w:tcPr>
            <w:tcW w:w="388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w:t>
            </w:r>
          </w:p>
        </w:tc>
        <w:tc>
          <w:tcPr>
            <w:tcW w:w="1362" w:type="dxa"/>
            <w:tcBorders>
              <w:top w:val="nil"/>
              <w:left w:val="nil"/>
              <w:bottom w:val="nil"/>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一、本年收入</w:t>
            </w:r>
          </w:p>
        </w:tc>
        <w:tc>
          <w:tcPr>
            <w:tcW w:w="1363"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1,106.49</w:t>
            </w: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一、本年支出</w:t>
            </w:r>
          </w:p>
        </w:tc>
        <w:tc>
          <w:tcPr>
            <w:tcW w:w="1362" w:type="dxa"/>
            <w:tcBorders>
              <w:top w:val="single" w:color="auto" w:sz="4" w:space="0"/>
              <w:left w:val="single" w:color="auto" w:sz="4" w:space="0"/>
              <w:bottom w:val="single" w:color="auto" w:sz="4" w:space="0"/>
              <w:right w:val="nil"/>
            </w:tcBorders>
            <w:shd w:val="clear" w:color="auto" w:fill="FFFFFF"/>
          </w:tcPr>
          <w:p>
            <w:pPr>
              <w:jc w:val="right"/>
              <w:rPr>
                <w:rFonts w:ascii="宋体" w:hAnsi="宋体"/>
                <w:sz w:val="18"/>
                <w:szCs w:val="18"/>
              </w:rPr>
            </w:pPr>
            <w:r>
              <w:rPr>
                <w:rFonts w:ascii="宋体" w:hAnsi="宋体"/>
                <w:sz w:val="18"/>
                <w:szCs w:val="18"/>
              </w:rPr>
              <w:t>1,106.49</w:t>
            </w: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1363"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r>
              <w:rPr>
                <w:rFonts w:ascii="宋体" w:hAnsi="宋体"/>
                <w:sz w:val="18"/>
                <w:szCs w:val="18"/>
              </w:rPr>
              <w:t>1,106.49</w:t>
            </w: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1363"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1363" w:type="dxa"/>
            <w:tcBorders>
              <w:top w:val="nil"/>
              <w:left w:val="nil"/>
              <w:bottom w:val="single" w:color="000000" w:sz="4" w:space="0"/>
              <w:right w:val="single" w:color="000000" w:sz="4" w:space="0"/>
            </w:tcBorders>
            <w:shd w:val="clear" w:color="auto" w:fill="FFFFFF"/>
          </w:tcPr>
          <w:p>
            <w:pPr>
              <w:jc w:val="right"/>
              <w:rPr>
                <w:rFonts w:ascii="宋体" w:hAnsi="宋体"/>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r>
              <w:rPr>
                <w:rFonts w:ascii="宋体" w:hAnsi="宋体"/>
                <w:sz w:val="18"/>
                <w:szCs w:val="18"/>
              </w:rPr>
              <w:t>608.96</w:t>
            </w: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bottom"/>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r>
              <w:rPr>
                <w:rFonts w:ascii="宋体" w:hAnsi="宋体"/>
                <w:sz w:val="18"/>
                <w:szCs w:val="18"/>
              </w:rPr>
              <w:t>300.00</w:t>
            </w: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nil"/>
              <w:right w:val="nil"/>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r>
              <w:rPr>
                <w:rFonts w:ascii="宋体" w:hAnsi="宋体"/>
                <w:sz w:val="18"/>
                <w:szCs w:val="18"/>
              </w:rPr>
              <w:t>96.12</w:t>
            </w: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single" w:color="000000"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（九）社会保险基金支出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（十）卫生健康支出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r>
              <w:rPr>
                <w:rFonts w:ascii="宋体" w:hAnsi="宋体"/>
                <w:sz w:val="18"/>
                <w:szCs w:val="18"/>
              </w:rPr>
              <w:t>49.63</w:t>
            </w: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（十一）节能环保支出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（十二）城乡社区支出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（十三）农林水支出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（十四）交通运输支出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（十五）资源勘探工业信息等支出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（十六）商业服务业等支出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（十七）金融支出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（十八）援助其他地区支出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（十九）自然资源海洋气象等支出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（二十）住房保障支出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r>
              <w:rPr>
                <w:rFonts w:ascii="宋体" w:hAnsi="宋体"/>
                <w:sz w:val="18"/>
                <w:szCs w:val="18"/>
              </w:rPr>
              <w:t>51.78</w:t>
            </w: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（二十一）粮油物资储备支出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（二十二）国有资本经营预算支出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（二十三）灾害防治及应急管理支出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（二十四）预备费</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（二十五）其他支出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（二十六）债务还本支出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（二十七）债务付息支出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（二十八）债务发行费用支出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（二十九）抗疫特别国债安排的支出</w:t>
            </w: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136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p>
        </w:tc>
        <w:tc>
          <w:tcPr>
            <w:tcW w:w="388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362" w:type="dxa"/>
            <w:tcBorders>
              <w:top w:val="nil"/>
              <w:left w:val="single" w:color="auto" w:sz="4" w:space="0"/>
              <w:bottom w:val="single" w:color="auto" w:sz="4" w:space="0"/>
              <w:right w:val="nil"/>
            </w:tcBorders>
            <w:shd w:val="clear" w:color="auto"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3195" w:type="dxa"/>
            <w:tcBorders>
              <w:top w:val="nil"/>
              <w:left w:val="nil"/>
              <w:bottom w:val="single" w:color="000000"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收  入  总  计</w:t>
            </w:r>
          </w:p>
        </w:tc>
        <w:tc>
          <w:tcPr>
            <w:tcW w:w="1363" w:type="dxa"/>
            <w:tcBorders>
              <w:top w:val="nil"/>
              <w:left w:val="single" w:color="000000" w:sz="4" w:space="0"/>
              <w:bottom w:val="single" w:color="000000" w:sz="4" w:space="0"/>
              <w:right w:val="single" w:color="000000" w:sz="4" w:space="0"/>
            </w:tcBorders>
            <w:shd w:val="clear" w:color="auto" w:fill="FFFFFF"/>
            <w:vAlign w:val="center"/>
          </w:tcPr>
          <w:p>
            <w:pPr>
              <w:widowControl/>
              <w:jc w:val="right"/>
              <w:rPr>
                <w:rFonts w:ascii="宋体" w:hAnsi="宋体" w:cs="Arial"/>
                <w:b/>
                <w:color w:val="000000"/>
                <w:kern w:val="0"/>
                <w:sz w:val="18"/>
                <w:szCs w:val="18"/>
              </w:rPr>
            </w:pPr>
            <w:r>
              <w:rPr>
                <w:rFonts w:ascii="宋体" w:hAnsi="宋体"/>
                <w:sz w:val="18"/>
                <w:szCs w:val="18"/>
              </w:rPr>
              <w:t>1,106.49</w:t>
            </w:r>
          </w:p>
        </w:tc>
        <w:tc>
          <w:tcPr>
            <w:tcW w:w="388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  出  总  计</w:t>
            </w:r>
          </w:p>
        </w:tc>
        <w:tc>
          <w:tcPr>
            <w:tcW w:w="1362" w:type="dxa"/>
            <w:tcBorders>
              <w:top w:val="nil"/>
              <w:left w:val="single" w:color="auto" w:sz="4" w:space="0"/>
              <w:bottom w:val="single" w:color="auto" w:sz="4" w:space="0"/>
              <w:right w:val="nil"/>
            </w:tcBorders>
            <w:shd w:val="clear" w:color="auto" w:fill="FFFFFF"/>
            <w:vAlign w:val="center"/>
          </w:tcPr>
          <w:p>
            <w:pPr>
              <w:widowControl/>
              <w:jc w:val="right"/>
              <w:rPr>
                <w:rFonts w:ascii="宋体" w:hAnsi="宋体" w:cs="Arial"/>
                <w:b/>
                <w:color w:val="000000"/>
                <w:kern w:val="0"/>
                <w:sz w:val="18"/>
                <w:szCs w:val="18"/>
              </w:rPr>
            </w:pPr>
            <w:r>
              <w:rPr>
                <w:rFonts w:ascii="宋体" w:hAnsi="宋体"/>
                <w:sz w:val="18"/>
                <w:szCs w:val="18"/>
              </w:rPr>
              <w:t>1,106.49</w:t>
            </w:r>
          </w:p>
        </w:tc>
      </w:tr>
    </w:tbl>
    <w:p>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表五、财政拨款支出表</w:t>
      </w:r>
    </w:p>
    <w:p>
      <w:pPr>
        <w:jc w:val="right"/>
        <w:rPr>
          <w:rFonts w:ascii="宋体" w:hAnsi="宋体" w:cs="Arial"/>
          <w:color w:val="000000"/>
          <w:kern w:val="0"/>
          <w:sz w:val="18"/>
          <w:szCs w:val="18"/>
        </w:rPr>
      </w:pPr>
      <w:r>
        <w:rPr>
          <w:rFonts w:hint="eastAsia" w:ascii="宋体" w:hAnsi="宋体" w:cs="Arial"/>
          <w:color w:val="000000"/>
          <w:kern w:val="0"/>
          <w:sz w:val="18"/>
          <w:szCs w:val="18"/>
        </w:rPr>
        <w:t>单位：万元</w:t>
      </w:r>
    </w:p>
    <w:tbl>
      <w:tblPr>
        <w:tblStyle w:val="8"/>
        <w:tblW w:w="14400" w:type="dxa"/>
        <w:jc w:val="center"/>
        <w:tblInd w:w="0" w:type="dxa"/>
        <w:tblLayout w:type="fixed"/>
        <w:tblCellMar>
          <w:top w:w="0" w:type="dxa"/>
          <w:left w:w="108" w:type="dxa"/>
          <w:bottom w:w="0" w:type="dxa"/>
          <w:right w:w="108" w:type="dxa"/>
        </w:tblCellMar>
      </w:tblPr>
      <w:tblGrid>
        <w:gridCol w:w="3905"/>
        <w:gridCol w:w="1065"/>
        <w:gridCol w:w="1066"/>
        <w:gridCol w:w="1025"/>
        <w:gridCol w:w="1066"/>
        <w:gridCol w:w="1066"/>
        <w:gridCol w:w="1025"/>
        <w:gridCol w:w="1066"/>
        <w:gridCol w:w="1066"/>
        <w:gridCol w:w="1025"/>
        <w:gridCol w:w="1025"/>
      </w:tblGrid>
      <w:tr>
        <w:tblPrEx>
          <w:tblLayout w:type="fixed"/>
          <w:tblCellMar>
            <w:top w:w="0" w:type="dxa"/>
            <w:left w:w="108" w:type="dxa"/>
            <w:bottom w:w="0" w:type="dxa"/>
            <w:right w:w="108" w:type="dxa"/>
          </w:tblCellMar>
        </w:tblPrEx>
        <w:trPr>
          <w:trHeight w:val="20" w:hRule="atLeast"/>
          <w:tblHeader/>
          <w:jc w:val="center"/>
        </w:trPr>
        <w:tc>
          <w:tcPr>
            <w:tcW w:w="390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总计</w:t>
            </w:r>
          </w:p>
        </w:tc>
        <w:tc>
          <w:tcPr>
            <w:tcW w:w="315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一般公共预算支出</w:t>
            </w:r>
          </w:p>
        </w:tc>
        <w:tc>
          <w:tcPr>
            <w:tcW w:w="3157" w:type="dxa"/>
            <w:gridSpan w:val="3"/>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政府性基金预算支出</w:t>
            </w:r>
          </w:p>
        </w:tc>
        <w:tc>
          <w:tcPr>
            <w:tcW w:w="3116" w:type="dxa"/>
            <w:gridSpan w:val="3"/>
            <w:tcBorders>
              <w:top w:val="single" w:color="000000" w:sz="4" w:space="0"/>
              <w:left w:val="nil"/>
              <w:bottom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国有资本经营预算支出</w:t>
            </w:r>
          </w:p>
        </w:tc>
      </w:tr>
      <w:tr>
        <w:tblPrEx>
          <w:tblLayout w:type="fixed"/>
          <w:tblCellMar>
            <w:top w:w="0" w:type="dxa"/>
            <w:left w:w="108" w:type="dxa"/>
            <w:bottom w:w="0" w:type="dxa"/>
            <w:right w:w="108" w:type="dxa"/>
          </w:tblCellMar>
        </w:tblPrEx>
        <w:trPr>
          <w:trHeight w:val="20" w:hRule="atLeast"/>
          <w:tblHeader/>
          <w:jc w:val="center"/>
        </w:trPr>
        <w:tc>
          <w:tcPr>
            <w:tcW w:w="390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b/>
                <w:color w:val="000000"/>
                <w:kern w:val="0"/>
                <w:sz w:val="18"/>
                <w:szCs w:val="18"/>
              </w:rPr>
            </w:pPr>
          </w:p>
        </w:tc>
        <w:tc>
          <w:tcPr>
            <w:tcW w:w="106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b/>
                <w:color w:val="000000"/>
                <w:kern w:val="0"/>
                <w:sz w:val="18"/>
                <w:szCs w:val="18"/>
              </w:rPr>
            </w:pPr>
          </w:p>
        </w:tc>
        <w:tc>
          <w:tcPr>
            <w:tcW w:w="10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025" w:type="dxa"/>
            <w:tcBorders>
              <w:top w:val="nil"/>
              <w:left w:val="nil"/>
              <w:bottom w:val="single" w:color="000000"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tblPrEx>
          <w:tblLayout w:type="fixed"/>
          <w:tblCellMar>
            <w:top w:w="0" w:type="dxa"/>
            <w:left w:w="108" w:type="dxa"/>
            <w:bottom w:w="0" w:type="dxa"/>
            <w:right w:w="108" w:type="dxa"/>
          </w:tblCellMar>
        </w:tblPrEx>
        <w:trPr>
          <w:trHeight w:val="20" w:hRule="atLeast"/>
          <w:tblHeader/>
          <w:jc w:val="center"/>
        </w:trPr>
        <w:tc>
          <w:tcPr>
            <w:tcW w:w="390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w:t>
            </w:r>
          </w:p>
        </w:tc>
        <w:tc>
          <w:tcPr>
            <w:tcW w:w="106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06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02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025" w:type="dxa"/>
            <w:tcBorders>
              <w:top w:val="nil"/>
              <w:left w:val="nil"/>
              <w:bottom w:val="single" w:color="000000" w:sz="4" w:space="0"/>
              <w:right w:val="nil"/>
            </w:tcBorders>
            <w:shd w:val="clear" w:color="auto" w:fill="auto"/>
            <w:vAlign w:val="center"/>
          </w:tcPr>
          <w:p>
            <w:pPr>
              <w:widowControl/>
              <w:jc w:val="center"/>
              <w:rPr>
                <w:rFonts w:ascii="宋体" w:hAnsi="宋体" w:cs="Arial"/>
                <w:kern w:val="0"/>
                <w:sz w:val="18"/>
                <w:szCs w:val="18"/>
              </w:rPr>
            </w:pPr>
            <w:r>
              <w:rPr>
                <w:rFonts w:hint="eastAsia" w:ascii="宋体" w:hAnsi="宋体" w:cs="Arial"/>
                <w:kern w:val="0"/>
                <w:sz w:val="18"/>
                <w:szCs w:val="18"/>
              </w:rPr>
              <w:t>10</w:t>
            </w:r>
          </w:p>
        </w:tc>
      </w:tr>
      <w:tr>
        <w:tblPrEx>
          <w:tblLayout w:type="fixed"/>
          <w:tblCellMar>
            <w:top w:w="0" w:type="dxa"/>
            <w:left w:w="108" w:type="dxa"/>
            <w:bottom w:w="0" w:type="dxa"/>
            <w:right w:w="108" w:type="dxa"/>
          </w:tblCellMar>
        </w:tblPrEx>
        <w:trPr>
          <w:trHeight w:val="20" w:hRule="atLeast"/>
          <w:jc w:val="center"/>
        </w:trPr>
        <w:tc>
          <w:tcPr>
            <w:tcW w:w="3905"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[303007]甘肃省教育科学研究院</w:t>
            </w:r>
          </w:p>
        </w:tc>
        <w:tc>
          <w:tcPr>
            <w:tcW w:w="1065" w:type="dxa"/>
            <w:tcBorders>
              <w:top w:val="nil"/>
              <w:left w:val="nil"/>
              <w:bottom w:val="single" w:color="000000" w:sz="4" w:space="0"/>
              <w:right w:val="single" w:color="000000" w:sz="4" w:space="0"/>
            </w:tcBorders>
            <w:shd w:val="clear" w:color="FFFFFF" w:fill="FFFFFF"/>
            <w:tcMar>
              <w:left w:w="0" w:type="dxa"/>
              <w:right w:w="28" w:type="dxa"/>
            </w:tcMar>
          </w:tcPr>
          <w:p>
            <w:pPr>
              <w:jc w:val="right"/>
              <w:rPr>
                <w:rFonts w:ascii="宋体" w:hAnsi="宋体"/>
                <w:sz w:val="18"/>
                <w:szCs w:val="18"/>
              </w:rPr>
            </w:pPr>
            <w:r>
              <w:rPr>
                <w:rFonts w:ascii="宋体" w:hAnsi="宋体"/>
                <w:sz w:val="18"/>
                <w:szCs w:val="18"/>
              </w:rPr>
              <w:t>1,106.49</w:t>
            </w:r>
          </w:p>
        </w:tc>
        <w:tc>
          <w:tcPr>
            <w:tcW w:w="1066" w:type="dxa"/>
            <w:tcBorders>
              <w:top w:val="nil"/>
              <w:left w:val="nil"/>
              <w:bottom w:val="single" w:color="000000" w:sz="4" w:space="0"/>
              <w:right w:val="single" w:color="000000" w:sz="4" w:space="0"/>
            </w:tcBorders>
            <w:shd w:val="clear" w:color="FFFFFF" w:fill="FFFFFF"/>
            <w:tcMar>
              <w:left w:w="0" w:type="dxa"/>
              <w:right w:w="28" w:type="dxa"/>
            </w:tcMar>
          </w:tcPr>
          <w:p>
            <w:pPr>
              <w:jc w:val="right"/>
              <w:rPr>
                <w:rFonts w:ascii="宋体" w:hAnsi="宋体"/>
                <w:sz w:val="18"/>
                <w:szCs w:val="18"/>
              </w:rPr>
            </w:pPr>
            <w:r>
              <w:rPr>
                <w:rFonts w:ascii="宋体" w:hAnsi="宋体"/>
                <w:sz w:val="18"/>
                <w:szCs w:val="18"/>
              </w:rPr>
              <w:t>1,106.49</w:t>
            </w:r>
          </w:p>
        </w:tc>
        <w:tc>
          <w:tcPr>
            <w:tcW w:w="1025" w:type="dxa"/>
            <w:tcBorders>
              <w:top w:val="nil"/>
              <w:left w:val="nil"/>
              <w:bottom w:val="single" w:color="000000" w:sz="4" w:space="0"/>
              <w:right w:val="single" w:color="000000" w:sz="4" w:space="0"/>
            </w:tcBorders>
            <w:shd w:val="clear" w:color="FFFFFF" w:fill="FFFFFF"/>
            <w:tcMar>
              <w:left w:w="0" w:type="dxa"/>
              <w:right w:w="28" w:type="dxa"/>
            </w:tcMar>
          </w:tcPr>
          <w:p>
            <w:pPr>
              <w:jc w:val="right"/>
              <w:rPr>
                <w:rFonts w:ascii="宋体" w:hAnsi="宋体"/>
                <w:sz w:val="18"/>
                <w:szCs w:val="18"/>
              </w:rPr>
            </w:pPr>
            <w:r>
              <w:rPr>
                <w:rFonts w:ascii="宋体" w:hAnsi="宋体"/>
                <w:sz w:val="18"/>
                <w:szCs w:val="18"/>
              </w:rPr>
              <w:t>716.49</w:t>
            </w:r>
          </w:p>
        </w:tc>
        <w:tc>
          <w:tcPr>
            <w:tcW w:w="1066" w:type="dxa"/>
            <w:tcBorders>
              <w:top w:val="nil"/>
              <w:left w:val="nil"/>
              <w:bottom w:val="single" w:color="000000" w:sz="4" w:space="0"/>
              <w:right w:val="single" w:color="000000" w:sz="4" w:space="0"/>
            </w:tcBorders>
            <w:shd w:val="clear" w:color="FFFFFF" w:fill="FFFFFF"/>
            <w:tcMar>
              <w:left w:w="0" w:type="dxa"/>
              <w:right w:w="28" w:type="dxa"/>
            </w:tcMar>
          </w:tcPr>
          <w:p>
            <w:pPr>
              <w:jc w:val="right"/>
              <w:rPr>
                <w:rFonts w:ascii="宋体" w:hAnsi="宋体"/>
                <w:sz w:val="18"/>
                <w:szCs w:val="18"/>
              </w:rPr>
            </w:pPr>
            <w:r>
              <w:rPr>
                <w:rFonts w:ascii="宋体" w:hAnsi="宋体"/>
                <w:sz w:val="18"/>
                <w:szCs w:val="18"/>
              </w:rPr>
              <w:t>390.00</w:t>
            </w:r>
          </w:p>
        </w:tc>
        <w:tc>
          <w:tcPr>
            <w:tcW w:w="1066" w:type="dxa"/>
            <w:tcBorders>
              <w:top w:val="nil"/>
              <w:left w:val="nil"/>
              <w:bottom w:val="single" w:color="000000" w:sz="4" w:space="0"/>
              <w:right w:val="single" w:color="000000" w:sz="4" w:space="0"/>
            </w:tcBorders>
            <w:shd w:val="clear" w:color="FFFFFF" w:fill="FFFFFF"/>
            <w:tcMar>
              <w:left w:w="0" w:type="dxa"/>
              <w:right w:w="28" w:type="dxa"/>
            </w:tcMar>
          </w:tcPr>
          <w:p>
            <w:pPr>
              <w:jc w:val="right"/>
              <w:rPr>
                <w:rFonts w:ascii="宋体" w:hAnsi="宋体"/>
                <w:sz w:val="18"/>
                <w:szCs w:val="18"/>
              </w:rPr>
            </w:pPr>
          </w:p>
        </w:tc>
        <w:tc>
          <w:tcPr>
            <w:tcW w:w="1025" w:type="dxa"/>
            <w:tcBorders>
              <w:top w:val="nil"/>
              <w:left w:val="nil"/>
              <w:bottom w:val="single" w:color="000000" w:sz="4" w:space="0"/>
              <w:right w:val="single" w:color="000000" w:sz="4" w:space="0"/>
            </w:tcBorders>
            <w:shd w:val="clear" w:color="FFFFFF" w:fill="FFFFFF"/>
            <w:tcMar>
              <w:left w:w="0" w:type="dxa"/>
              <w:right w:w="28" w:type="dxa"/>
            </w:tcMar>
          </w:tcPr>
          <w:p>
            <w:pPr>
              <w:jc w:val="right"/>
              <w:rPr>
                <w:rFonts w:ascii="宋体" w:hAnsi="宋体"/>
                <w:sz w:val="18"/>
                <w:szCs w:val="18"/>
              </w:rPr>
            </w:pPr>
          </w:p>
        </w:tc>
        <w:tc>
          <w:tcPr>
            <w:tcW w:w="1066" w:type="dxa"/>
            <w:tcBorders>
              <w:top w:val="nil"/>
              <w:left w:val="nil"/>
              <w:bottom w:val="single" w:color="000000" w:sz="4" w:space="0"/>
              <w:right w:val="single" w:color="000000" w:sz="4" w:space="0"/>
            </w:tcBorders>
            <w:shd w:val="clear" w:color="FFFFFF" w:fill="FFFFFF"/>
            <w:tcMar>
              <w:left w:w="0" w:type="dxa"/>
              <w:right w:w="28" w:type="dxa"/>
            </w:tcMar>
          </w:tcPr>
          <w:p>
            <w:pPr>
              <w:jc w:val="right"/>
              <w:rPr>
                <w:rFonts w:ascii="宋体" w:hAnsi="宋体" w:cs="Arial"/>
                <w:sz w:val="18"/>
                <w:szCs w:val="18"/>
              </w:rPr>
            </w:pPr>
          </w:p>
        </w:tc>
        <w:tc>
          <w:tcPr>
            <w:tcW w:w="1066" w:type="dxa"/>
            <w:tcBorders>
              <w:top w:val="nil"/>
              <w:left w:val="nil"/>
              <w:bottom w:val="single" w:color="000000" w:sz="4" w:space="0"/>
              <w:right w:val="single" w:color="000000" w:sz="4" w:space="0"/>
            </w:tcBorders>
            <w:shd w:val="clear" w:color="FFFFFF" w:fill="FFFFFF"/>
            <w:tcMar>
              <w:left w:w="0" w:type="dxa"/>
              <w:right w:w="28" w:type="dxa"/>
            </w:tcMar>
          </w:tcPr>
          <w:p>
            <w:pPr>
              <w:jc w:val="right"/>
              <w:rPr>
                <w:rFonts w:ascii="宋体" w:hAnsi="宋体" w:cs="Arial"/>
                <w:sz w:val="18"/>
                <w:szCs w:val="18"/>
              </w:rPr>
            </w:pPr>
          </w:p>
        </w:tc>
        <w:tc>
          <w:tcPr>
            <w:tcW w:w="1025" w:type="dxa"/>
            <w:tcBorders>
              <w:top w:val="nil"/>
              <w:left w:val="nil"/>
              <w:bottom w:val="single" w:color="000000" w:sz="4" w:space="0"/>
              <w:right w:val="single" w:color="000000" w:sz="4" w:space="0"/>
            </w:tcBorders>
            <w:shd w:val="clear" w:color="FFFFFF" w:fill="FFFFFF"/>
            <w:tcMar>
              <w:left w:w="0" w:type="dxa"/>
              <w:right w:w="28" w:type="dxa"/>
            </w:tcMar>
          </w:tcPr>
          <w:p>
            <w:pPr>
              <w:jc w:val="right"/>
              <w:rPr>
                <w:rFonts w:ascii="宋体" w:hAnsi="宋体" w:cs="Arial"/>
                <w:sz w:val="18"/>
                <w:szCs w:val="18"/>
              </w:rPr>
            </w:pPr>
          </w:p>
        </w:tc>
        <w:tc>
          <w:tcPr>
            <w:tcW w:w="1025" w:type="dxa"/>
            <w:tcBorders>
              <w:top w:val="nil"/>
              <w:left w:val="nil"/>
              <w:bottom w:val="single" w:color="000000" w:sz="4" w:space="0"/>
              <w:right w:val="nil"/>
            </w:tcBorders>
            <w:shd w:val="clear" w:color="FFFFFF" w:fill="FFFFFF"/>
            <w:tcMar>
              <w:left w:w="0" w:type="dxa"/>
              <w:right w:w="28" w:type="dxa"/>
            </w:tcMar>
          </w:tcPr>
          <w:p>
            <w:pPr>
              <w:jc w:val="right"/>
              <w:rPr>
                <w:rFonts w:ascii="宋体" w:hAnsi="宋体" w:cs="Arial"/>
                <w:sz w:val="18"/>
                <w:szCs w:val="18"/>
              </w:rPr>
            </w:pPr>
          </w:p>
        </w:tc>
      </w:tr>
    </w:tbl>
    <w:p>
      <w:pPr>
        <w:widowControl/>
        <w:spacing w:line="560" w:lineRule="exact"/>
        <w:ind w:firstLine="360" w:firstLineChars="200"/>
        <w:jc w:val="left"/>
        <w:rPr>
          <w:rFonts w:ascii="仿宋" w:hAnsi="微软雅黑" w:eastAsia="仿宋"/>
          <w:sz w:val="18"/>
          <w:szCs w:val="18"/>
        </w:rPr>
        <w:sectPr>
          <w:pgSz w:w="16838" w:h="11906" w:orient="landscape"/>
          <w:pgMar w:top="1134" w:right="1134" w:bottom="1134" w:left="1134" w:header="851" w:footer="992" w:gutter="0"/>
          <w:cols w:space="425" w:num="1"/>
          <w:docGrid w:type="lines" w:linePitch="312" w:charSpace="0"/>
        </w:sectPr>
      </w:pPr>
    </w:p>
    <w:p>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表六、一般公共预算支出情况表</w:t>
      </w:r>
    </w:p>
    <w:p>
      <w:pPr>
        <w:jc w:val="right"/>
        <w:rPr>
          <w:rFonts w:ascii="仿宋" w:hAnsi="宋体" w:eastAsia="仿宋" w:cs="宋体"/>
          <w:kern w:val="0"/>
          <w:sz w:val="32"/>
          <w:szCs w:val="32"/>
        </w:rPr>
      </w:pPr>
      <w:r>
        <w:rPr>
          <w:rFonts w:hint="eastAsia" w:ascii="宋体" w:hAnsi="宋体" w:cs="Arial"/>
          <w:color w:val="000000"/>
          <w:kern w:val="0"/>
          <w:sz w:val="18"/>
          <w:szCs w:val="18"/>
        </w:rPr>
        <w:t>单位：万元</w:t>
      </w:r>
    </w:p>
    <w:tbl>
      <w:tblPr>
        <w:tblStyle w:val="8"/>
        <w:tblW w:w="9591" w:type="dxa"/>
        <w:jc w:val="center"/>
        <w:tblInd w:w="0" w:type="dxa"/>
        <w:tblLayout w:type="fixed"/>
        <w:tblCellMar>
          <w:top w:w="0" w:type="dxa"/>
          <w:left w:w="108" w:type="dxa"/>
          <w:bottom w:w="0" w:type="dxa"/>
          <w:right w:w="108" w:type="dxa"/>
        </w:tblCellMar>
      </w:tblPr>
      <w:tblGrid>
        <w:gridCol w:w="1074"/>
        <w:gridCol w:w="4253"/>
        <w:gridCol w:w="1417"/>
        <w:gridCol w:w="1418"/>
        <w:gridCol w:w="1429"/>
      </w:tblGrid>
      <w:tr>
        <w:tblPrEx>
          <w:tblLayout w:type="fixed"/>
          <w:tblCellMar>
            <w:top w:w="0" w:type="dxa"/>
            <w:left w:w="108" w:type="dxa"/>
            <w:bottom w:w="0" w:type="dxa"/>
            <w:right w:w="108" w:type="dxa"/>
          </w:tblCellMar>
        </w:tblPrEx>
        <w:trPr>
          <w:trHeight w:val="20" w:hRule="atLeast"/>
          <w:tblHeader/>
          <w:jc w:val="center"/>
        </w:trPr>
        <w:tc>
          <w:tcPr>
            <w:tcW w:w="5327"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支出功能分类科目</w:t>
            </w:r>
          </w:p>
        </w:tc>
        <w:tc>
          <w:tcPr>
            <w:tcW w:w="4264" w:type="dxa"/>
            <w:gridSpan w:val="3"/>
            <w:tcBorders>
              <w:top w:val="single" w:color="000000" w:sz="4" w:space="0"/>
              <w:left w:val="nil"/>
              <w:bottom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一般公共预算支出</w:t>
            </w:r>
          </w:p>
        </w:tc>
      </w:tr>
      <w:tr>
        <w:tblPrEx>
          <w:tblLayout w:type="fixed"/>
          <w:tblCellMar>
            <w:top w:w="0" w:type="dxa"/>
            <w:left w:w="108" w:type="dxa"/>
            <w:bottom w:w="0" w:type="dxa"/>
            <w:right w:w="108" w:type="dxa"/>
          </w:tblCellMar>
        </w:tblPrEx>
        <w:trPr>
          <w:trHeight w:val="20" w:hRule="atLeast"/>
          <w:tblHeader/>
          <w:jc w:val="center"/>
        </w:trPr>
        <w:tc>
          <w:tcPr>
            <w:tcW w:w="10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科目编码</w:t>
            </w:r>
          </w:p>
        </w:tc>
        <w:tc>
          <w:tcPr>
            <w:tcW w:w="4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科目名称</w:t>
            </w:r>
          </w:p>
        </w:tc>
        <w:tc>
          <w:tcPr>
            <w:tcW w:w="14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4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429" w:type="dxa"/>
            <w:tcBorders>
              <w:top w:val="nil"/>
              <w:left w:val="nil"/>
              <w:bottom w:val="single" w:color="000000"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tblPrEx>
          <w:tblLayout w:type="fixed"/>
          <w:tblCellMar>
            <w:top w:w="0" w:type="dxa"/>
            <w:left w:w="108" w:type="dxa"/>
            <w:bottom w:w="0" w:type="dxa"/>
            <w:right w:w="108" w:type="dxa"/>
          </w:tblCellMar>
        </w:tblPrEx>
        <w:trPr>
          <w:trHeight w:val="20" w:hRule="atLeast"/>
          <w:tblHeader/>
          <w:jc w:val="center"/>
        </w:trPr>
        <w:tc>
          <w:tcPr>
            <w:tcW w:w="107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425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41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4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429" w:type="dxa"/>
            <w:tcBorders>
              <w:top w:val="nil"/>
              <w:left w:val="nil"/>
              <w:bottom w:val="single" w:color="000000"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 xml:space="preserve"> </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总计</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1,106.49</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716.49</w:t>
            </w:r>
          </w:p>
        </w:tc>
        <w:tc>
          <w:tcPr>
            <w:tcW w:w="1429" w:type="dxa"/>
            <w:tcBorders>
              <w:top w:val="nil"/>
              <w:left w:val="nil"/>
              <w:bottom w:val="single" w:color="000000" w:sz="4" w:space="0"/>
              <w:right w:val="nil"/>
            </w:tcBorders>
            <w:shd w:val="clear" w:color="FFFFFF" w:fill="FFFFFF"/>
          </w:tcPr>
          <w:p>
            <w:pPr>
              <w:jc w:val="right"/>
              <w:rPr>
                <w:rFonts w:ascii="宋体" w:hAnsi="宋体"/>
                <w:b/>
                <w:sz w:val="18"/>
                <w:szCs w:val="18"/>
              </w:rPr>
            </w:pPr>
            <w:r>
              <w:rPr>
                <w:rFonts w:ascii="宋体" w:hAnsi="宋体"/>
                <w:b/>
                <w:sz w:val="18"/>
                <w:szCs w:val="18"/>
              </w:rPr>
              <w:t>390.00</w:t>
            </w: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205</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教育支出</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608.96</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518.96</w:t>
            </w:r>
          </w:p>
        </w:tc>
        <w:tc>
          <w:tcPr>
            <w:tcW w:w="1429" w:type="dxa"/>
            <w:tcBorders>
              <w:top w:val="nil"/>
              <w:left w:val="nil"/>
              <w:bottom w:val="single" w:color="000000" w:sz="4" w:space="0"/>
              <w:right w:val="nil"/>
            </w:tcBorders>
            <w:shd w:val="clear" w:color="FFFFFF" w:fill="FFFFFF"/>
          </w:tcPr>
          <w:p>
            <w:pPr>
              <w:jc w:val="right"/>
              <w:rPr>
                <w:rFonts w:ascii="宋体" w:hAnsi="宋体"/>
                <w:b/>
                <w:sz w:val="18"/>
                <w:szCs w:val="18"/>
              </w:rPr>
            </w:pPr>
            <w:r>
              <w:rPr>
                <w:rFonts w:ascii="宋体" w:hAnsi="宋体"/>
                <w:b/>
                <w:sz w:val="18"/>
                <w:szCs w:val="18"/>
              </w:rPr>
              <w:t>90.00</w:t>
            </w: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20501</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教育管理事务</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558.96</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518.96</w:t>
            </w:r>
          </w:p>
        </w:tc>
        <w:tc>
          <w:tcPr>
            <w:tcW w:w="1429" w:type="dxa"/>
            <w:tcBorders>
              <w:top w:val="nil"/>
              <w:left w:val="nil"/>
              <w:bottom w:val="single" w:color="000000" w:sz="4" w:space="0"/>
              <w:right w:val="nil"/>
            </w:tcBorders>
            <w:shd w:val="clear" w:color="FFFFFF" w:fill="FFFFFF"/>
          </w:tcPr>
          <w:p>
            <w:pPr>
              <w:jc w:val="right"/>
              <w:rPr>
                <w:rFonts w:ascii="宋体" w:hAnsi="宋体"/>
                <w:b/>
                <w:sz w:val="18"/>
                <w:szCs w:val="18"/>
              </w:rPr>
            </w:pPr>
            <w:r>
              <w:rPr>
                <w:rFonts w:ascii="宋体" w:hAnsi="宋体"/>
                <w:b/>
                <w:sz w:val="18"/>
                <w:szCs w:val="18"/>
              </w:rPr>
              <w:t>40.00</w:t>
            </w: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2050199</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其他教育管理事务支出</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558.96</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518.96</w:t>
            </w:r>
          </w:p>
        </w:tc>
        <w:tc>
          <w:tcPr>
            <w:tcW w:w="1429" w:type="dxa"/>
            <w:tcBorders>
              <w:top w:val="nil"/>
              <w:left w:val="nil"/>
              <w:bottom w:val="single" w:color="000000" w:sz="4" w:space="0"/>
              <w:right w:val="nil"/>
            </w:tcBorders>
            <w:shd w:val="clear" w:color="FFFFFF" w:fill="FFFFFF"/>
          </w:tcPr>
          <w:p>
            <w:pPr>
              <w:jc w:val="right"/>
              <w:rPr>
                <w:rFonts w:ascii="宋体" w:hAnsi="宋体"/>
                <w:sz w:val="18"/>
                <w:szCs w:val="18"/>
              </w:rPr>
            </w:pPr>
            <w:r>
              <w:rPr>
                <w:rFonts w:ascii="宋体" w:hAnsi="宋体"/>
                <w:sz w:val="18"/>
                <w:szCs w:val="18"/>
              </w:rPr>
              <w:t>40.00</w:t>
            </w: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20502</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普通教育</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50.00</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p>
        </w:tc>
        <w:tc>
          <w:tcPr>
            <w:tcW w:w="1429" w:type="dxa"/>
            <w:tcBorders>
              <w:top w:val="nil"/>
              <w:left w:val="nil"/>
              <w:bottom w:val="single" w:color="000000" w:sz="4" w:space="0"/>
              <w:right w:val="nil"/>
            </w:tcBorders>
            <w:shd w:val="clear" w:color="FFFFFF" w:fill="FFFFFF"/>
          </w:tcPr>
          <w:p>
            <w:pPr>
              <w:jc w:val="right"/>
              <w:rPr>
                <w:rFonts w:ascii="宋体" w:hAnsi="宋体"/>
                <w:b/>
                <w:sz w:val="18"/>
                <w:szCs w:val="18"/>
              </w:rPr>
            </w:pPr>
            <w:r>
              <w:rPr>
                <w:rFonts w:ascii="宋体" w:hAnsi="宋体"/>
                <w:b/>
                <w:sz w:val="18"/>
                <w:szCs w:val="18"/>
              </w:rPr>
              <w:t>50.00</w:t>
            </w: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2050299</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其他普通教育支出</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50.00</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p>
        </w:tc>
        <w:tc>
          <w:tcPr>
            <w:tcW w:w="1429" w:type="dxa"/>
            <w:tcBorders>
              <w:top w:val="nil"/>
              <w:left w:val="nil"/>
              <w:bottom w:val="single" w:color="000000" w:sz="4" w:space="0"/>
              <w:right w:val="nil"/>
            </w:tcBorders>
            <w:shd w:val="clear" w:color="FFFFFF" w:fill="FFFFFF"/>
          </w:tcPr>
          <w:p>
            <w:pPr>
              <w:jc w:val="right"/>
              <w:rPr>
                <w:rFonts w:ascii="宋体" w:hAnsi="宋体"/>
                <w:sz w:val="18"/>
                <w:szCs w:val="18"/>
              </w:rPr>
            </w:pPr>
            <w:r>
              <w:rPr>
                <w:rFonts w:ascii="宋体" w:hAnsi="宋体"/>
                <w:sz w:val="18"/>
                <w:szCs w:val="18"/>
              </w:rPr>
              <w:t>50.00</w:t>
            </w: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206</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科学技术支出</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300.00</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p>
        </w:tc>
        <w:tc>
          <w:tcPr>
            <w:tcW w:w="1429" w:type="dxa"/>
            <w:tcBorders>
              <w:top w:val="nil"/>
              <w:left w:val="nil"/>
              <w:bottom w:val="single" w:color="000000" w:sz="4" w:space="0"/>
              <w:right w:val="nil"/>
            </w:tcBorders>
            <w:shd w:val="clear" w:color="FFFFFF" w:fill="FFFFFF"/>
          </w:tcPr>
          <w:p>
            <w:pPr>
              <w:jc w:val="right"/>
              <w:rPr>
                <w:rFonts w:ascii="宋体" w:hAnsi="宋体"/>
                <w:b/>
                <w:sz w:val="18"/>
                <w:szCs w:val="18"/>
              </w:rPr>
            </w:pPr>
            <w:r>
              <w:rPr>
                <w:rFonts w:ascii="宋体" w:hAnsi="宋体"/>
                <w:b/>
                <w:sz w:val="18"/>
                <w:szCs w:val="18"/>
              </w:rPr>
              <w:t>300.00</w:t>
            </w: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20605</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科技条件与服务</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300.00</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p>
        </w:tc>
        <w:tc>
          <w:tcPr>
            <w:tcW w:w="1429" w:type="dxa"/>
            <w:tcBorders>
              <w:top w:val="nil"/>
              <w:left w:val="nil"/>
              <w:bottom w:val="single" w:color="000000" w:sz="4" w:space="0"/>
              <w:right w:val="nil"/>
            </w:tcBorders>
            <w:shd w:val="clear" w:color="FFFFFF" w:fill="FFFFFF"/>
          </w:tcPr>
          <w:p>
            <w:pPr>
              <w:jc w:val="right"/>
              <w:rPr>
                <w:rFonts w:ascii="宋体" w:hAnsi="宋体"/>
                <w:b/>
                <w:sz w:val="18"/>
                <w:szCs w:val="18"/>
              </w:rPr>
            </w:pPr>
            <w:r>
              <w:rPr>
                <w:rFonts w:ascii="宋体" w:hAnsi="宋体"/>
                <w:b/>
                <w:sz w:val="18"/>
                <w:szCs w:val="18"/>
              </w:rPr>
              <w:t>300.00</w:t>
            </w: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2060502</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技术创新服务体系</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300.00</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p>
        </w:tc>
        <w:tc>
          <w:tcPr>
            <w:tcW w:w="1429" w:type="dxa"/>
            <w:tcBorders>
              <w:top w:val="nil"/>
              <w:left w:val="nil"/>
              <w:bottom w:val="single" w:color="000000" w:sz="4" w:space="0"/>
              <w:right w:val="nil"/>
            </w:tcBorders>
            <w:shd w:val="clear" w:color="FFFFFF" w:fill="FFFFFF"/>
          </w:tcPr>
          <w:p>
            <w:pPr>
              <w:jc w:val="right"/>
              <w:rPr>
                <w:rFonts w:ascii="宋体" w:hAnsi="宋体"/>
                <w:sz w:val="18"/>
                <w:szCs w:val="18"/>
              </w:rPr>
            </w:pPr>
            <w:r>
              <w:rPr>
                <w:rFonts w:ascii="宋体" w:hAnsi="宋体"/>
                <w:sz w:val="18"/>
                <w:szCs w:val="18"/>
              </w:rPr>
              <w:t>300.00</w:t>
            </w: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208</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社会保障和就业支出</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96.12</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96.12</w:t>
            </w:r>
          </w:p>
        </w:tc>
        <w:tc>
          <w:tcPr>
            <w:tcW w:w="1429" w:type="dxa"/>
            <w:tcBorders>
              <w:top w:val="nil"/>
              <w:left w:val="nil"/>
              <w:bottom w:val="single" w:color="000000" w:sz="4" w:space="0"/>
              <w:right w:val="nil"/>
            </w:tcBorders>
            <w:shd w:val="clear" w:color="FFFFFF" w:fill="FFFFFF"/>
          </w:tcPr>
          <w:p>
            <w:pPr>
              <w:jc w:val="right"/>
              <w:rPr>
                <w:rFonts w:ascii="宋体" w:hAnsi="宋体"/>
                <w:b/>
                <w:sz w:val="18"/>
                <w:szCs w:val="18"/>
              </w:rPr>
            </w:pP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20805</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行政事业单位养老支出</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95.38</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95.38</w:t>
            </w:r>
          </w:p>
        </w:tc>
        <w:tc>
          <w:tcPr>
            <w:tcW w:w="1429" w:type="dxa"/>
            <w:tcBorders>
              <w:top w:val="nil"/>
              <w:left w:val="nil"/>
              <w:bottom w:val="single" w:color="000000" w:sz="4" w:space="0"/>
              <w:right w:val="nil"/>
            </w:tcBorders>
            <w:shd w:val="clear" w:color="FFFFFF" w:fill="FFFFFF"/>
          </w:tcPr>
          <w:p>
            <w:pPr>
              <w:jc w:val="right"/>
              <w:rPr>
                <w:rFonts w:ascii="宋体" w:hAnsi="宋体"/>
                <w:b/>
                <w:sz w:val="18"/>
                <w:szCs w:val="18"/>
              </w:rPr>
            </w:pP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2080502</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事业单位离退休</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6.40</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6.40</w:t>
            </w:r>
          </w:p>
        </w:tc>
        <w:tc>
          <w:tcPr>
            <w:tcW w:w="1429" w:type="dxa"/>
            <w:tcBorders>
              <w:top w:val="nil"/>
              <w:left w:val="nil"/>
              <w:bottom w:val="single" w:color="000000" w:sz="4" w:space="0"/>
              <w:right w:val="nil"/>
            </w:tcBorders>
            <w:shd w:val="clear" w:color="FFFF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2080505</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机关事业单位基本养老保险缴费支出</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59.32</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59.32</w:t>
            </w:r>
          </w:p>
        </w:tc>
        <w:tc>
          <w:tcPr>
            <w:tcW w:w="1429" w:type="dxa"/>
            <w:tcBorders>
              <w:top w:val="nil"/>
              <w:left w:val="nil"/>
              <w:bottom w:val="single" w:color="000000" w:sz="4" w:space="0"/>
              <w:right w:val="nil"/>
            </w:tcBorders>
            <w:shd w:val="clear" w:color="FFFF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2080506</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机关事业单位职业年金缴费支出</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29.66</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29.66</w:t>
            </w:r>
          </w:p>
        </w:tc>
        <w:tc>
          <w:tcPr>
            <w:tcW w:w="1429" w:type="dxa"/>
            <w:tcBorders>
              <w:top w:val="nil"/>
              <w:left w:val="nil"/>
              <w:bottom w:val="single" w:color="000000" w:sz="4" w:space="0"/>
              <w:right w:val="nil"/>
            </w:tcBorders>
            <w:shd w:val="clear" w:color="FFFF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20899</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其他社会保障和就业支出</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0.74</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0.74</w:t>
            </w:r>
          </w:p>
        </w:tc>
        <w:tc>
          <w:tcPr>
            <w:tcW w:w="1429" w:type="dxa"/>
            <w:tcBorders>
              <w:top w:val="nil"/>
              <w:left w:val="nil"/>
              <w:bottom w:val="single" w:color="000000" w:sz="4" w:space="0"/>
              <w:right w:val="nil"/>
            </w:tcBorders>
            <w:shd w:val="clear" w:color="FFFFFF" w:fill="FFFFFF"/>
          </w:tcPr>
          <w:p>
            <w:pPr>
              <w:jc w:val="right"/>
              <w:rPr>
                <w:rFonts w:ascii="宋体" w:hAnsi="宋体"/>
                <w:b/>
                <w:sz w:val="18"/>
                <w:szCs w:val="18"/>
              </w:rPr>
            </w:pP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2089999</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其他社会保障和就业支出</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0.74</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0.74</w:t>
            </w:r>
          </w:p>
        </w:tc>
        <w:tc>
          <w:tcPr>
            <w:tcW w:w="1429" w:type="dxa"/>
            <w:tcBorders>
              <w:top w:val="nil"/>
              <w:left w:val="nil"/>
              <w:bottom w:val="single" w:color="000000" w:sz="4" w:space="0"/>
              <w:right w:val="nil"/>
            </w:tcBorders>
            <w:shd w:val="clear" w:color="FFFF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210</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卫生健康支出</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49.63</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49.63</w:t>
            </w:r>
          </w:p>
        </w:tc>
        <w:tc>
          <w:tcPr>
            <w:tcW w:w="1429" w:type="dxa"/>
            <w:tcBorders>
              <w:top w:val="nil"/>
              <w:left w:val="nil"/>
              <w:bottom w:val="single" w:color="000000" w:sz="4" w:space="0"/>
              <w:right w:val="nil"/>
            </w:tcBorders>
            <w:shd w:val="clear" w:color="FFFFFF" w:fill="FFFFFF"/>
          </w:tcPr>
          <w:p>
            <w:pPr>
              <w:jc w:val="right"/>
              <w:rPr>
                <w:rFonts w:ascii="宋体" w:hAnsi="宋体"/>
                <w:b/>
                <w:sz w:val="18"/>
                <w:szCs w:val="18"/>
              </w:rPr>
            </w:pP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21011</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行政事业单位医疗</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49.63</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49.63</w:t>
            </w:r>
          </w:p>
        </w:tc>
        <w:tc>
          <w:tcPr>
            <w:tcW w:w="1429" w:type="dxa"/>
            <w:tcBorders>
              <w:top w:val="nil"/>
              <w:left w:val="nil"/>
              <w:bottom w:val="single" w:color="000000" w:sz="4" w:space="0"/>
              <w:right w:val="nil"/>
            </w:tcBorders>
            <w:shd w:val="clear" w:color="FFFFFF" w:fill="FFFFFF"/>
          </w:tcPr>
          <w:p>
            <w:pPr>
              <w:jc w:val="right"/>
              <w:rPr>
                <w:rFonts w:ascii="宋体" w:hAnsi="宋体"/>
                <w:b/>
                <w:sz w:val="18"/>
                <w:szCs w:val="18"/>
              </w:rPr>
            </w:pP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2101102</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事业单位医疗</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34.80</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34.80</w:t>
            </w:r>
          </w:p>
        </w:tc>
        <w:tc>
          <w:tcPr>
            <w:tcW w:w="1429" w:type="dxa"/>
            <w:tcBorders>
              <w:top w:val="nil"/>
              <w:left w:val="nil"/>
              <w:bottom w:val="single" w:color="000000" w:sz="4" w:space="0"/>
              <w:right w:val="nil"/>
            </w:tcBorders>
            <w:shd w:val="clear" w:color="FFFF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2101103</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公务员医疗补助</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14.83</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14.83</w:t>
            </w:r>
          </w:p>
        </w:tc>
        <w:tc>
          <w:tcPr>
            <w:tcW w:w="1429" w:type="dxa"/>
            <w:tcBorders>
              <w:top w:val="nil"/>
              <w:left w:val="nil"/>
              <w:bottom w:val="single" w:color="000000" w:sz="4" w:space="0"/>
              <w:right w:val="nil"/>
            </w:tcBorders>
            <w:shd w:val="clear" w:color="FFFF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221</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住房保障支出</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51.78</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51.78</w:t>
            </w:r>
          </w:p>
        </w:tc>
        <w:tc>
          <w:tcPr>
            <w:tcW w:w="1429" w:type="dxa"/>
            <w:tcBorders>
              <w:top w:val="nil"/>
              <w:left w:val="nil"/>
              <w:bottom w:val="single" w:color="000000" w:sz="4" w:space="0"/>
              <w:right w:val="nil"/>
            </w:tcBorders>
            <w:shd w:val="clear" w:color="FFFFFF" w:fill="FFFFFF"/>
          </w:tcPr>
          <w:p>
            <w:pPr>
              <w:jc w:val="right"/>
              <w:rPr>
                <w:rFonts w:ascii="宋体" w:hAnsi="宋体"/>
                <w:b/>
                <w:sz w:val="18"/>
                <w:szCs w:val="18"/>
              </w:rPr>
            </w:pP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22102</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b/>
                <w:sz w:val="18"/>
                <w:szCs w:val="18"/>
              </w:rPr>
            </w:pPr>
            <w:r>
              <w:rPr>
                <w:rFonts w:ascii="宋体" w:hAnsi="宋体"/>
                <w:b/>
                <w:sz w:val="18"/>
                <w:szCs w:val="18"/>
              </w:rPr>
              <w:t>住房改革支出</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51.78</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51.78</w:t>
            </w:r>
          </w:p>
        </w:tc>
        <w:tc>
          <w:tcPr>
            <w:tcW w:w="1429" w:type="dxa"/>
            <w:tcBorders>
              <w:top w:val="nil"/>
              <w:left w:val="nil"/>
              <w:bottom w:val="single" w:color="000000" w:sz="4" w:space="0"/>
              <w:right w:val="nil"/>
            </w:tcBorders>
            <w:shd w:val="clear" w:color="FFFFFF" w:fill="FFFFFF"/>
          </w:tcPr>
          <w:p>
            <w:pPr>
              <w:jc w:val="right"/>
              <w:rPr>
                <w:rFonts w:ascii="宋体" w:hAnsi="宋体"/>
                <w:b/>
                <w:sz w:val="18"/>
                <w:szCs w:val="18"/>
              </w:rPr>
            </w:pPr>
          </w:p>
        </w:tc>
      </w:tr>
      <w:tr>
        <w:tblPrEx>
          <w:tblLayout w:type="fixed"/>
          <w:tblCellMar>
            <w:top w:w="0" w:type="dxa"/>
            <w:left w:w="108" w:type="dxa"/>
            <w:bottom w:w="0" w:type="dxa"/>
            <w:right w:w="108" w:type="dxa"/>
          </w:tblCellMar>
        </w:tblPrEx>
        <w:trPr>
          <w:trHeight w:val="20" w:hRule="atLeast"/>
          <w:jc w:val="center"/>
        </w:trPr>
        <w:tc>
          <w:tcPr>
            <w:tcW w:w="1074"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2210201</w:t>
            </w:r>
          </w:p>
        </w:tc>
        <w:tc>
          <w:tcPr>
            <w:tcW w:w="4253" w:type="dxa"/>
            <w:tcBorders>
              <w:top w:val="nil"/>
              <w:left w:val="nil"/>
              <w:bottom w:val="single" w:color="000000" w:sz="4" w:space="0"/>
              <w:right w:val="single" w:color="000000" w:sz="4" w:space="0"/>
            </w:tcBorders>
            <w:shd w:val="clear" w:color="FFFFFF" w:fill="FFFFFF"/>
          </w:tcPr>
          <w:p>
            <w:pPr>
              <w:jc w:val="left"/>
              <w:rPr>
                <w:rFonts w:ascii="宋体" w:hAnsi="宋体"/>
                <w:sz w:val="18"/>
                <w:szCs w:val="18"/>
              </w:rPr>
            </w:pPr>
            <w:r>
              <w:rPr>
                <w:rFonts w:ascii="宋体" w:hAnsi="宋体"/>
                <w:sz w:val="18"/>
                <w:szCs w:val="18"/>
              </w:rPr>
              <w:t>住房公积金</w:t>
            </w:r>
          </w:p>
        </w:tc>
        <w:tc>
          <w:tcPr>
            <w:tcW w:w="1417"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51.78</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51.78</w:t>
            </w:r>
          </w:p>
        </w:tc>
        <w:tc>
          <w:tcPr>
            <w:tcW w:w="1429" w:type="dxa"/>
            <w:tcBorders>
              <w:top w:val="nil"/>
              <w:left w:val="nil"/>
              <w:bottom w:val="single" w:color="000000" w:sz="4" w:space="0"/>
              <w:right w:val="nil"/>
            </w:tcBorders>
            <w:shd w:val="clear" w:color="FFFFFF" w:fill="FFFFFF"/>
          </w:tcPr>
          <w:p>
            <w:pPr>
              <w:jc w:val="right"/>
              <w:rPr>
                <w:rFonts w:ascii="宋体" w:hAnsi="宋体"/>
                <w:sz w:val="18"/>
                <w:szCs w:val="18"/>
              </w:rPr>
            </w:pPr>
          </w:p>
        </w:tc>
      </w:tr>
    </w:tbl>
    <w:p>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表七、一般公共预算基本支出情况表</w:t>
      </w:r>
    </w:p>
    <w:p>
      <w:pPr>
        <w:jc w:val="right"/>
        <w:rPr>
          <w:rFonts w:ascii="仿宋" w:hAnsi="宋体" w:eastAsia="仿宋" w:cs="宋体"/>
          <w:kern w:val="0"/>
          <w:sz w:val="32"/>
          <w:szCs w:val="32"/>
        </w:rPr>
      </w:pPr>
      <w:r>
        <w:rPr>
          <w:rFonts w:hint="eastAsia" w:ascii="宋体" w:hAnsi="宋体" w:cs="Arial"/>
          <w:color w:val="000000"/>
          <w:kern w:val="0"/>
          <w:sz w:val="18"/>
          <w:szCs w:val="18"/>
        </w:rPr>
        <w:t>单位：万元</w:t>
      </w:r>
    </w:p>
    <w:tbl>
      <w:tblPr>
        <w:tblStyle w:val="8"/>
        <w:tblW w:w="9405" w:type="dxa"/>
        <w:jc w:val="center"/>
        <w:tblInd w:w="0" w:type="dxa"/>
        <w:tblLayout w:type="fixed"/>
        <w:tblCellMar>
          <w:top w:w="0" w:type="dxa"/>
          <w:left w:w="108" w:type="dxa"/>
          <w:bottom w:w="0" w:type="dxa"/>
          <w:right w:w="108" w:type="dxa"/>
        </w:tblCellMar>
      </w:tblPr>
      <w:tblGrid>
        <w:gridCol w:w="948"/>
        <w:gridCol w:w="4252"/>
        <w:gridCol w:w="1559"/>
        <w:gridCol w:w="1418"/>
        <w:gridCol w:w="1228"/>
      </w:tblGrid>
      <w:tr>
        <w:tblPrEx>
          <w:tblLayout w:type="fixed"/>
          <w:tblCellMar>
            <w:top w:w="0" w:type="dxa"/>
            <w:left w:w="108" w:type="dxa"/>
            <w:bottom w:w="0" w:type="dxa"/>
            <w:right w:w="108" w:type="dxa"/>
          </w:tblCellMar>
        </w:tblPrEx>
        <w:trPr>
          <w:trHeight w:val="20" w:hRule="atLeast"/>
          <w:tblHeader/>
          <w:jc w:val="center"/>
        </w:trPr>
        <w:tc>
          <w:tcPr>
            <w:tcW w:w="5200"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部门预算支出经济分类科目</w:t>
            </w:r>
          </w:p>
        </w:tc>
        <w:tc>
          <w:tcPr>
            <w:tcW w:w="4205" w:type="dxa"/>
            <w:gridSpan w:val="3"/>
            <w:tcBorders>
              <w:top w:val="single" w:color="000000" w:sz="4" w:space="0"/>
              <w:left w:val="nil"/>
              <w:bottom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一般公共预算基本支出</w:t>
            </w:r>
          </w:p>
        </w:tc>
      </w:tr>
      <w:tr>
        <w:tblPrEx>
          <w:tblLayout w:type="fixed"/>
          <w:tblCellMar>
            <w:top w:w="0" w:type="dxa"/>
            <w:left w:w="108" w:type="dxa"/>
            <w:bottom w:w="0" w:type="dxa"/>
            <w:right w:w="108" w:type="dxa"/>
          </w:tblCellMar>
        </w:tblPrEx>
        <w:trPr>
          <w:trHeight w:val="20" w:hRule="atLeast"/>
          <w:tblHeader/>
          <w:jc w:val="center"/>
        </w:trPr>
        <w:tc>
          <w:tcPr>
            <w:tcW w:w="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科目编码</w:t>
            </w:r>
          </w:p>
        </w:tc>
        <w:tc>
          <w:tcPr>
            <w:tcW w:w="425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科目名称</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4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人员经费</w:t>
            </w:r>
          </w:p>
        </w:tc>
        <w:tc>
          <w:tcPr>
            <w:tcW w:w="1228" w:type="dxa"/>
            <w:tcBorders>
              <w:top w:val="nil"/>
              <w:left w:val="nil"/>
              <w:bottom w:val="single" w:color="000000"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公用经费</w:t>
            </w:r>
          </w:p>
        </w:tc>
      </w:tr>
      <w:tr>
        <w:tblPrEx>
          <w:tblLayout w:type="fixed"/>
          <w:tblCellMar>
            <w:top w:w="0" w:type="dxa"/>
            <w:left w:w="108" w:type="dxa"/>
            <w:bottom w:w="0" w:type="dxa"/>
            <w:right w:w="108" w:type="dxa"/>
          </w:tblCellMar>
        </w:tblPrEx>
        <w:trPr>
          <w:trHeight w:val="20" w:hRule="atLeast"/>
          <w:tblHeader/>
          <w:jc w:val="center"/>
        </w:trPr>
        <w:tc>
          <w:tcPr>
            <w:tcW w:w="9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425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55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41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228" w:type="dxa"/>
            <w:tcBorders>
              <w:top w:val="nil"/>
              <w:left w:val="nil"/>
              <w:bottom w:val="single" w:color="000000"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 xml:space="preserve"> </w:t>
            </w:r>
          </w:p>
        </w:tc>
        <w:tc>
          <w:tcPr>
            <w:tcW w:w="4252"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总计</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716.49</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666.11</w:t>
            </w:r>
          </w:p>
        </w:tc>
        <w:tc>
          <w:tcPr>
            <w:tcW w:w="1228" w:type="dxa"/>
            <w:tcBorders>
              <w:top w:val="nil"/>
              <w:left w:val="nil"/>
              <w:bottom w:val="single" w:color="000000" w:sz="4" w:space="0"/>
              <w:right w:val="nil"/>
            </w:tcBorders>
            <w:shd w:val="clear" w:color="FFFFFF" w:fill="FFFFFF"/>
          </w:tcPr>
          <w:p>
            <w:pPr>
              <w:jc w:val="right"/>
              <w:rPr>
                <w:rFonts w:ascii="宋体" w:hAnsi="宋体"/>
                <w:b/>
                <w:sz w:val="18"/>
                <w:szCs w:val="18"/>
              </w:rPr>
            </w:pPr>
            <w:r>
              <w:rPr>
                <w:rFonts w:ascii="宋体" w:hAnsi="宋体"/>
                <w:b/>
                <w:sz w:val="18"/>
                <w:szCs w:val="18"/>
              </w:rPr>
              <w:t>50.38</w:t>
            </w: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301</w:t>
            </w:r>
          </w:p>
        </w:tc>
        <w:tc>
          <w:tcPr>
            <w:tcW w:w="4252"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工资福利支出</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648.07</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648.07</w:t>
            </w:r>
          </w:p>
        </w:tc>
        <w:tc>
          <w:tcPr>
            <w:tcW w:w="1228" w:type="dxa"/>
            <w:tcBorders>
              <w:top w:val="nil"/>
              <w:left w:val="nil"/>
              <w:bottom w:val="single" w:color="000000" w:sz="4" w:space="0"/>
              <w:right w:val="nil"/>
            </w:tcBorders>
            <w:shd w:val="clear" w:color="FFFFFF" w:fill="FFFFFF"/>
          </w:tcPr>
          <w:p>
            <w:pPr>
              <w:jc w:val="right"/>
              <w:rPr>
                <w:rFonts w:ascii="宋体" w:hAnsi="宋体"/>
                <w:b/>
                <w:sz w:val="18"/>
                <w:szCs w:val="18"/>
              </w:rPr>
            </w:pP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30101</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基本工资</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187.04</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187.04</w:t>
            </w: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30102</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津贴补贴</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64.23</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64.23</w:t>
            </w: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30103</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奖金</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120.83</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120.83</w:t>
            </w: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30107</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绩效工资</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96.13</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96.13</w:t>
            </w: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30108</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机关事业单位基本养老保险缴费</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59.32</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59.32</w:t>
            </w: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30109</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职业年金缴费</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29.66</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29.66</w:t>
            </w: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30110</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职工基本医疗保险缴费</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22.25</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22.25</w:t>
            </w: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30111</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公务员医疗补助缴费</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14.83</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14.83</w:t>
            </w: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30112</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其他社会保障缴费</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2.00</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2.00</w:t>
            </w: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30113</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住房公积金</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51.78</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51.78</w:t>
            </w: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302</w:t>
            </w:r>
          </w:p>
        </w:tc>
        <w:tc>
          <w:tcPr>
            <w:tcW w:w="4252"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商品和服务支出</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50.38</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p>
        </w:tc>
        <w:tc>
          <w:tcPr>
            <w:tcW w:w="1228" w:type="dxa"/>
            <w:tcBorders>
              <w:top w:val="nil"/>
              <w:left w:val="nil"/>
              <w:bottom w:val="single" w:color="000000" w:sz="4" w:space="0"/>
              <w:right w:val="nil"/>
            </w:tcBorders>
            <w:shd w:val="clear" w:color="FFFFFF" w:fill="FFFFFF"/>
          </w:tcPr>
          <w:p>
            <w:pPr>
              <w:jc w:val="right"/>
              <w:rPr>
                <w:rFonts w:ascii="宋体" w:hAnsi="宋体"/>
                <w:b/>
                <w:sz w:val="18"/>
                <w:szCs w:val="18"/>
              </w:rPr>
            </w:pPr>
            <w:r>
              <w:rPr>
                <w:rFonts w:ascii="宋体" w:hAnsi="宋体"/>
                <w:b/>
                <w:sz w:val="18"/>
                <w:szCs w:val="18"/>
              </w:rPr>
              <w:t>50.38</w:t>
            </w: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30201</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办公费</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2.41</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r>
              <w:rPr>
                <w:rFonts w:ascii="宋体" w:hAnsi="宋体"/>
                <w:sz w:val="18"/>
                <w:szCs w:val="18"/>
              </w:rPr>
              <w:t>2.41</w:t>
            </w: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30205</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水费</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0.48</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r>
              <w:rPr>
                <w:rFonts w:ascii="宋体" w:hAnsi="宋体"/>
                <w:sz w:val="18"/>
                <w:szCs w:val="18"/>
              </w:rPr>
              <w:t>0.48</w:t>
            </w: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30206</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电费</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2.96</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r>
              <w:rPr>
                <w:rFonts w:ascii="宋体" w:hAnsi="宋体"/>
                <w:sz w:val="18"/>
                <w:szCs w:val="18"/>
              </w:rPr>
              <w:t>2.96</w:t>
            </w: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30207</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邮电费</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1.85</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r>
              <w:rPr>
                <w:rFonts w:ascii="宋体" w:hAnsi="宋体"/>
                <w:sz w:val="18"/>
                <w:szCs w:val="18"/>
              </w:rPr>
              <w:t>1.85</w:t>
            </w: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30208</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取暖费</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2.85</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r>
              <w:rPr>
                <w:rFonts w:ascii="宋体" w:hAnsi="宋体"/>
                <w:sz w:val="18"/>
                <w:szCs w:val="18"/>
              </w:rPr>
              <w:t>2.85</w:t>
            </w: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30211</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差旅费</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18.83</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r>
              <w:rPr>
                <w:rFonts w:ascii="宋体" w:hAnsi="宋体"/>
                <w:sz w:val="18"/>
                <w:szCs w:val="18"/>
              </w:rPr>
              <w:t>18.83</w:t>
            </w: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30213</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维修（护）费</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1.11</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r>
              <w:rPr>
                <w:rFonts w:ascii="宋体" w:hAnsi="宋体"/>
                <w:sz w:val="18"/>
                <w:szCs w:val="18"/>
              </w:rPr>
              <w:t>1.11</w:t>
            </w: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30216</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培训费</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2.53</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r>
              <w:rPr>
                <w:rFonts w:ascii="宋体" w:hAnsi="宋体"/>
                <w:sz w:val="18"/>
                <w:szCs w:val="18"/>
              </w:rPr>
              <w:t>2.53</w:t>
            </w: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30217</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公务接待费</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0.48</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r>
              <w:rPr>
                <w:rFonts w:ascii="宋体" w:hAnsi="宋体"/>
                <w:sz w:val="18"/>
                <w:szCs w:val="18"/>
              </w:rPr>
              <w:t>0.48</w:t>
            </w: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30228</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工会经费</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3.75</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r>
              <w:rPr>
                <w:rFonts w:ascii="宋体" w:hAnsi="宋体"/>
                <w:sz w:val="18"/>
                <w:szCs w:val="18"/>
              </w:rPr>
              <w:t>3.75</w:t>
            </w: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30229</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福利费</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6.59</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r>
              <w:rPr>
                <w:rFonts w:ascii="宋体" w:hAnsi="宋体"/>
                <w:sz w:val="18"/>
                <w:szCs w:val="18"/>
              </w:rPr>
              <w:t>6.59</w:t>
            </w: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30231</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公务用车运行维护费</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4.94</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r>
              <w:rPr>
                <w:rFonts w:ascii="宋体" w:hAnsi="宋体"/>
                <w:sz w:val="18"/>
                <w:szCs w:val="18"/>
              </w:rPr>
              <w:t>4.94</w:t>
            </w: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30299</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其他商品和服务支出</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1.60</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r>
              <w:rPr>
                <w:rFonts w:ascii="宋体" w:hAnsi="宋体"/>
                <w:sz w:val="18"/>
                <w:szCs w:val="18"/>
              </w:rPr>
              <w:t>1.60</w:t>
            </w: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303</w:t>
            </w:r>
          </w:p>
        </w:tc>
        <w:tc>
          <w:tcPr>
            <w:tcW w:w="4252" w:type="dxa"/>
            <w:tcBorders>
              <w:top w:val="nil"/>
              <w:left w:val="nil"/>
              <w:bottom w:val="single" w:color="000000" w:sz="4" w:space="0"/>
              <w:right w:val="single" w:color="000000" w:sz="4" w:space="0"/>
            </w:tcBorders>
            <w:shd w:val="clear" w:color="FFFFFF" w:fill="FFFFFF"/>
          </w:tcPr>
          <w:p>
            <w:pPr>
              <w:rPr>
                <w:rFonts w:ascii="宋体" w:hAnsi="宋体"/>
                <w:b/>
                <w:sz w:val="18"/>
                <w:szCs w:val="18"/>
              </w:rPr>
            </w:pPr>
            <w:r>
              <w:rPr>
                <w:rFonts w:ascii="宋体" w:hAnsi="宋体"/>
                <w:b/>
                <w:sz w:val="18"/>
                <w:szCs w:val="18"/>
              </w:rPr>
              <w:t>对个人和家庭的补助</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18.04</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b/>
                <w:sz w:val="18"/>
                <w:szCs w:val="18"/>
              </w:rPr>
            </w:pPr>
            <w:r>
              <w:rPr>
                <w:rFonts w:ascii="宋体" w:hAnsi="宋体"/>
                <w:b/>
                <w:sz w:val="18"/>
                <w:szCs w:val="18"/>
              </w:rPr>
              <w:t>18.04</w:t>
            </w:r>
          </w:p>
        </w:tc>
        <w:tc>
          <w:tcPr>
            <w:tcW w:w="1228" w:type="dxa"/>
            <w:tcBorders>
              <w:top w:val="nil"/>
              <w:left w:val="nil"/>
              <w:bottom w:val="single" w:color="000000" w:sz="4" w:space="0"/>
              <w:right w:val="nil"/>
            </w:tcBorders>
            <w:shd w:val="clear" w:color="FFFFFF" w:fill="FFFFFF"/>
          </w:tcPr>
          <w:p>
            <w:pPr>
              <w:jc w:val="right"/>
              <w:rPr>
                <w:rFonts w:ascii="宋体" w:hAnsi="宋体"/>
                <w:b/>
                <w:sz w:val="18"/>
                <w:szCs w:val="18"/>
              </w:rPr>
            </w:pP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30302</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退休费</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6.40</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6.40</w:t>
            </w: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30305</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生活补助</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0.35</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0.35</w:t>
            </w: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p>
        </w:tc>
      </w:tr>
      <w:tr>
        <w:tblPrEx>
          <w:tblLayout w:type="fixed"/>
          <w:tblCellMar>
            <w:top w:w="0" w:type="dxa"/>
            <w:left w:w="108" w:type="dxa"/>
            <w:bottom w:w="0" w:type="dxa"/>
            <w:right w:w="108" w:type="dxa"/>
          </w:tblCellMar>
        </w:tblPrEx>
        <w:trPr>
          <w:trHeight w:val="20" w:hRule="atLeast"/>
          <w:jc w:val="center"/>
        </w:trPr>
        <w:tc>
          <w:tcPr>
            <w:tcW w:w="948"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30307</w:t>
            </w:r>
          </w:p>
        </w:tc>
        <w:tc>
          <w:tcPr>
            <w:tcW w:w="4252" w:type="dxa"/>
            <w:tcBorders>
              <w:top w:val="nil"/>
              <w:left w:val="nil"/>
              <w:bottom w:val="single" w:color="000000" w:sz="4" w:space="0"/>
              <w:right w:val="single" w:color="000000" w:sz="4" w:space="0"/>
            </w:tcBorders>
            <w:shd w:val="clear" w:color="FFFFFF" w:fill="FFFFFF"/>
          </w:tcPr>
          <w:p>
            <w:pPr>
              <w:rPr>
                <w:rFonts w:ascii="宋体" w:hAnsi="宋体"/>
                <w:sz w:val="18"/>
                <w:szCs w:val="18"/>
              </w:rPr>
            </w:pPr>
            <w:r>
              <w:rPr>
                <w:rFonts w:ascii="宋体" w:hAnsi="宋体"/>
                <w:sz w:val="18"/>
                <w:szCs w:val="18"/>
              </w:rPr>
              <w:t>医疗费补助</w:t>
            </w:r>
          </w:p>
        </w:tc>
        <w:tc>
          <w:tcPr>
            <w:tcW w:w="1559"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11.29</w:t>
            </w:r>
          </w:p>
        </w:tc>
        <w:tc>
          <w:tcPr>
            <w:tcW w:w="1418" w:type="dxa"/>
            <w:tcBorders>
              <w:top w:val="nil"/>
              <w:left w:val="nil"/>
              <w:bottom w:val="single" w:color="000000" w:sz="4" w:space="0"/>
              <w:right w:val="single" w:color="000000" w:sz="4" w:space="0"/>
            </w:tcBorders>
            <w:shd w:val="clear" w:color="FFFFFF" w:fill="FFFFFF"/>
          </w:tcPr>
          <w:p>
            <w:pPr>
              <w:jc w:val="right"/>
              <w:rPr>
                <w:rFonts w:ascii="宋体" w:hAnsi="宋体"/>
                <w:sz w:val="18"/>
                <w:szCs w:val="18"/>
              </w:rPr>
            </w:pPr>
            <w:r>
              <w:rPr>
                <w:rFonts w:ascii="宋体" w:hAnsi="宋体"/>
                <w:sz w:val="18"/>
                <w:szCs w:val="18"/>
              </w:rPr>
              <w:t>11.29</w:t>
            </w:r>
          </w:p>
        </w:tc>
        <w:tc>
          <w:tcPr>
            <w:tcW w:w="1228" w:type="dxa"/>
            <w:tcBorders>
              <w:top w:val="nil"/>
              <w:left w:val="nil"/>
              <w:bottom w:val="single" w:color="000000" w:sz="4" w:space="0"/>
              <w:right w:val="nil"/>
            </w:tcBorders>
            <w:shd w:val="clear" w:color="FFFFFF" w:fill="FFFFFF"/>
          </w:tcPr>
          <w:p>
            <w:pPr>
              <w:jc w:val="right"/>
              <w:rPr>
                <w:rFonts w:ascii="宋体" w:hAnsi="宋体"/>
                <w:sz w:val="18"/>
                <w:szCs w:val="18"/>
              </w:rPr>
            </w:pPr>
          </w:p>
        </w:tc>
      </w:tr>
    </w:tbl>
    <w:p>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表八、一般公共预算财政拨款“三公”经费、会议费、培训费支出情况表</w:t>
      </w:r>
    </w:p>
    <w:p>
      <w:pPr>
        <w:jc w:val="right"/>
        <w:rPr>
          <w:rFonts w:ascii="仿宋" w:hAnsi="宋体" w:eastAsia="仿宋" w:cs="宋体"/>
          <w:kern w:val="0"/>
          <w:sz w:val="32"/>
          <w:szCs w:val="32"/>
        </w:rPr>
      </w:pPr>
      <w:r>
        <w:rPr>
          <w:rFonts w:hint="eastAsia" w:ascii="宋体" w:hAnsi="宋体" w:cs="Arial"/>
          <w:color w:val="000000"/>
          <w:kern w:val="0"/>
          <w:sz w:val="18"/>
          <w:szCs w:val="18"/>
        </w:rPr>
        <w:t>单位：万元</w:t>
      </w:r>
    </w:p>
    <w:tbl>
      <w:tblPr>
        <w:tblStyle w:val="8"/>
        <w:tblW w:w="14458" w:type="dxa"/>
        <w:jc w:val="center"/>
        <w:tblInd w:w="0" w:type="dxa"/>
        <w:tblLayout w:type="fixed"/>
        <w:tblCellMar>
          <w:top w:w="0" w:type="dxa"/>
          <w:left w:w="108" w:type="dxa"/>
          <w:bottom w:w="0" w:type="dxa"/>
          <w:right w:w="108" w:type="dxa"/>
        </w:tblCellMar>
      </w:tblPr>
      <w:tblGrid>
        <w:gridCol w:w="5125"/>
        <w:gridCol w:w="1358"/>
        <w:gridCol w:w="1361"/>
        <w:gridCol w:w="1361"/>
        <w:gridCol w:w="1361"/>
        <w:gridCol w:w="1362"/>
        <w:gridCol w:w="1265"/>
        <w:gridCol w:w="1265"/>
      </w:tblGrid>
      <w:tr>
        <w:tblPrEx>
          <w:tblLayout w:type="fixed"/>
          <w:tblCellMar>
            <w:top w:w="0" w:type="dxa"/>
            <w:left w:w="108" w:type="dxa"/>
            <w:bottom w:w="0" w:type="dxa"/>
            <w:right w:w="108" w:type="dxa"/>
          </w:tblCellMar>
        </w:tblPrEx>
        <w:trPr>
          <w:trHeight w:val="20" w:hRule="atLeast"/>
          <w:tblHeader/>
          <w:jc w:val="center"/>
        </w:trPr>
        <w:tc>
          <w:tcPr>
            <w:tcW w:w="5125" w:type="dxa"/>
            <w:vMerge w:val="restart"/>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6803" w:type="dxa"/>
            <w:gridSpan w:val="5"/>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“三公”经费</w:t>
            </w:r>
          </w:p>
        </w:tc>
        <w:tc>
          <w:tcPr>
            <w:tcW w:w="126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会议费</w:t>
            </w:r>
          </w:p>
        </w:tc>
        <w:tc>
          <w:tcPr>
            <w:tcW w:w="1265" w:type="dxa"/>
            <w:vMerge w:val="restart"/>
            <w:tcBorders>
              <w:top w:val="single" w:color="000000" w:sz="4" w:space="0"/>
              <w:left w:val="single" w:color="000000"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培训费</w:t>
            </w:r>
          </w:p>
        </w:tc>
      </w:tr>
      <w:tr>
        <w:tblPrEx>
          <w:tblLayout w:type="fixed"/>
          <w:tblCellMar>
            <w:top w:w="0" w:type="dxa"/>
            <w:left w:w="108" w:type="dxa"/>
            <w:bottom w:w="0" w:type="dxa"/>
            <w:right w:w="108" w:type="dxa"/>
          </w:tblCellMar>
        </w:tblPrEx>
        <w:trPr>
          <w:trHeight w:val="20" w:hRule="atLeast"/>
          <w:tblHeader/>
          <w:jc w:val="center"/>
        </w:trPr>
        <w:tc>
          <w:tcPr>
            <w:tcW w:w="51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b/>
                <w:color w:val="000000"/>
                <w:kern w:val="0"/>
                <w:sz w:val="18"/>
                <w:szCs w:val="18"/>
              </w:rPr>
            </w:pPr>
          </w:p>
        </w:tc>
        <w:tc>
          <w:tcPr>
            <w:tcW w:w="1358"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因公出国（境）费用</w:t>
            </w:r>
          </w:p>
        </w:tc>
        <w:tc>
          <w:tcPr>
            <w:tcW w:w="1361"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公务接待费</w:t>
            </w:r>
          </w:p>
        </w:tc>
        <w:tc>
          <w:tcPr>
            <w:tcW w:w="2723" w:type="dxa"/>
            <w:gridSpan w:val="2"/>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公务用车购置及运行维护费</w:t>
            </w:r>
          </w:p>
        </w:tc>
        <w:tc>
          <w:tcPr>
            <w:tcW w:w="1265" w:type="dxa"/>
            <w:vMerge w:val="continue"/>
            <w:tcBorders>
              <w:left w:val="single" w:color="000000" w:sz="4" w:space="0"/>
              <w:right w:val="single" w:color="000000" w:sz="4" w:space="0"/>
            </w:tcBorders>
            <w:vAlign w:val="center"/>
          </w:tcPr>
          <w:p>
            <w:pPr>
              <w:widowControl/>
              <w:jc w:val="left"/>
              <w:rPr>
                <w:rFonts w:ascii="宋体" w:hAnsi="宋体" w:cs="Arial"/>
                <w:b/>
                <w:color w:val="000000"/>
                <w:kern w:val="0"/>
                <w:sz w:val="18"/>
                <w:szCs w:val="18"/>
              </w:rPr>
            </w:pPr>
          </w:p>
        </w:tc>
        <w:tc>
          <w:tcPr>
            <w:tcW w:w="1265" w:type="dxa"/>
            <w:vMerge w:val="continue"/>
            <w:tcBorders>
              <w:left w:val="single" w:color="000000" w:sz="4" w:space="0"/>
              <w:right w:val="nil"/>
            </w:tcBorders>
            <w:vAlign w:val="center"/>
          </w:tcPr>
          <w:p>
            <w:pPr>
              <w:widowControl/>
              <w:jc w:val="left"/>
              <w:rPr>
                <w:rFonts w:ascii="宋体" w:hAnsi="宋体" w:cs="Arial"/>
                <w:b/>
                <w:color w:val="000000"/>
                <w:kern w:val="0"/>
                <w:sz w:val="18"/>
                <w:szCs w:val="18"/>
              </w:rPr>
            </w:pPr>
          </w:p>
        </w:tc>
      </w:tr>
      <w:tr>
        <w:tblPrEx>
          <w:tblLayout w:type="fixed"/>
          <w:tblCellMar>
            <w:top w:w="0" w:type="dxa"/>
            <w:left w:w="108" w:type="dxa"/>
            <w:bottom w:w="0" w:type="dxa"/>
            <w:right w:w="108" w:type="dxa"/>
          </w:tblCellMar>
        </w:tblPrEx>
        <w:trPr>
          <w:trHeight w:val="20" w:hRule="atLeast"/>
          <w:tblHeader/>
          <w:jc w:val="center"/>
        </w:trPr>
        <w:tc>
          <w:tcPr>
            <w:tcW w:w="5125" w:type="dxa"/>
            <w:vMerge w:val="continue"/>
            <w:tcBorders>
              <w:top w:val="single" w:color="000000" w:sz="4" w:space="0"/>
              <w:left w:val="nil"/>
              <w:bottom w:val="single" w:color="000000" w:sz="4" w:space="0"/>
              <w:right w:val="single" w:color="000000" w:sz="4" w:space="0"/>
            </w:tcBorders>
            <w:vAlign w:val="center"/>
          </w:tcPr>
          <w:p>
            <w:pPr>
              <w:widowControl/>
              <w:jc w:val="left"/>
              <w:rPr>
                <w:rFonts w:ascii="宋体" w:hAnsi="宋体" w:cs="Arial"/>
                <w:b/>
                <w:color w:val="000000"/>
                <w:kern w:val="0"/>
                <w:sz w:val="18"/>
                <w:szCs w:val="18"/>
              </w:rPr>
            </w:pPr>
          </w:p>
        </w:tc>
        <w:tc>
          <w:tcPr>
            <w:tcW w:w="1358"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b/>
                <w:color w:val="000000"/>
                <w:kern w:val="0"/>
                <w:sz w:val="18"/>
                <w:szCs w:val="18"/>
              </w:rPr>
            </w:pPr>
          </w:p>
        </w:tc>
        <w:tc>
          <w:tcPr>
            <w:tcW w:w="13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b/>
                <w:color w:val="000000"/>
                <w:kern w:val="0"/>
                <w:sz w:val="18"/>
                <w:szCs w:val="18"/>
              </w:rPr>
            </w:pPr>
          </w:p>
        </w:tc>
        <w:tc>
          <w:tcPr>
            <w:tcW w:w="1361"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Arial"/>
                <w:b/>
                <w:color w:val="000000"/>
                <w:kern w:val="0"/>
                <w:sz w:val="18"/>
                <w:szCs w:val="18"/>
              </w:rPr>
            </w:pPr>
          </w:p>
        </w:tc>
        <w:tc>
          <w:tcPr>
            <w:tcW w:w="13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公务用车购置</w:t>
            </w:r>
          </w:p>
        </w:tc>
        <w:tc>
          <w:tcPr>
            <w:tcW w:w="136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公务用车运行维护费</w:t>
            </w:r>
          </w:p>
        </w:tc>
        <w:tc>
          <w:tcPr>
            <w:tcW w:w="1265"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Arial"/>
                <w:b/>
                <w:color w:val="000000"/>
                <w:kern w:val="0"/>
                <w:sz w:val="18"/>
                <w:szCs w:val="18"/>
              </w:rPr>
            </w:pPr>
          </w:p>
        </w:tc>
        <w:tc>
          <w:tcPr>
            <w:tcW w:w="1265" w:type="dxa"/>
            <w:vMerge w:val="continue"/>
            <w:tcBorders>
              <w:left w:val="single" w:color="000000" w:sz="4" w:space="0"/>
              <w:bottom w:val="single" w:color="000000" w:sz="4" w:space="0"/>
              <w:right w:val="nil"/>
            </w:tcBorders>
            <w:vAlign w:val="center"/>
          </w:tcPr>
          <w:p>
            <w:pPr>
              <w:widowControl/>
              <w:jc w:val="left"/>
              <w:rPr>
                <w:rFonts w:ascii="宋体" w:hAnsi="宋体" w:cs="Arial"/>
                <w:b/>
                <w:color w:val="000000"/>
                <w:kern w:val="0"/>
                <w:sz w:val="18"/>
                <w:szCs w:val="18"/>
              </w:rPr>
            </w:pPr>
          </w:p>
        </w:tc>
      </w:tr>
      <w:tr>
        <w:tblPrEx>
          <w:tblLayout w:type="fixed"/>
          <w:tblCellMar>
            <w:top w:w="0" w:type="dxa"/>
            <w:left w:w="108" w:type="dxa"/>
            <w:bottom w:w="0" w:type="dxa"/>
            <w:right w:w="108" w:type="dxa"/>
          </w:tblCellMar>
        </w:tblPrEx>
        <w:trPr>
          <w:trHeight w:val="20" w:hRule="atLeast"/>
          <w:tblHeader/>
          <w:jc w:val="center"/>
        </w:trPr>
        <w:tc>
          <w:tcPr>
            <w:tcW w:w="512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358"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361"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361" w:type="dxa"/>
            <w:tcBorders>
              <w:top w:val="nil"/>
              <w:left w:val="single" w:color="000000" w:sz="4" w:space="0"/>
              <w:bottom w:val="single" w:color="000000" w:sz="4" w:space="0"/>
              <w:right w:val="single" w:color="000000" w:sz="4" w:space="0"/>
            </w:tcBorders>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3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c>
          <w:tcPr>
            <w:tcW w:w="136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5</w:t>
            </w: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6</w:t>
            </w:r>
          </w:p>
        </w:tc>
        <w:tc>
          <w:tcPr>
            <w:tcW w:w="1265" w:type="dxa"/>
            <w:tcBorders>
              <w:top w:val="single" w:color="000000" w:sz="4" w:space="0"/>
              <w:left w:val="single" w:color="000000" w:sz="4" w:space="0"/>
              <w:bottom w:val="single" w:color="000000" w:sz="4" w:space="0"/>
              <w:right w:val="nil"/>
            </w:tcBorders>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7</w:t>
            </w:r>
          </w:p>
        </w:tc>
      </w:tr>
      <w:tr>
        <w:tblPrEx>
          <w:tblLayout w:type="fixed"/>
          <w:tblCellMar>
            <w:top w:w="0" w:type="dxa"/>
            <w:left w:w="108" w:type="dxa"/>
            <w:bottom w:w="0" w:type="dxa"/>
            <w:right w:w="108" w:type="dxa"/>
          </w:tblCellMar>
        </w:tblPrEx>
        <w:trPr>
          <w:trHeight w:val="20" w:hRule="atLeast"/>
          <w:jc w:val="center"/>
        </w:trPr>
        <w:tc>
          <w:tcPr>
            <w:tcW w:w="5125" w:type="dxa"/>
            <w:tcBorders>
              <w:top w:val="nil"/>
              <w:left w:val="nil"/>
              <w:bottom w:val="single" w:color="000000" w:sz="4" w:space="0"/>
              <w:right w:val="single" w:color="000000" w:sz="4" w:space="0"/>
            </w:tcBorders>
            <w:shd w:val="clear" w:color="CCCCFF" w:fill="FFFFFF"/>
          </w:tcPr>
          <w:p>
            <w:pPr>
              <w:rPr>
                <w:rFonts w:ascii="宋体" w:hAnsi="宋体"/>
                <w:sz w:val="18"/>
                <w:szCs w:val="18"/>
              </w:rPr>
            </w:pPr>
            <w:r>
              <w:rPr>
                <w:rFonts w:ascii="宋体" w:hAnsi="宋体"/>
                <w:sz w:val="18"/>
                <w:szCs w:val="18"/>
              </w:rPr>
              <w:t>[303007]甘肃省教育科学研究院</w:t>
            </w:r>
          </w:p>
        </w:tc>
        <w:tc>
          <w:tcPr>
            <w:tcW w:w="1358" w:type="dxa"/>
            <w:tcBorders>
              <w:top w:val="nil"/>
              <w:left w:val="nil"/>
              <w:bottom w:val="single" w:color="000000" w:sz="4" w:space="0"/>
              <w:right w:val="single" w:color="000000" w:sz="4" w:space="0"/>
            </w:tcBorders>
            <w:shd w:val="clear" w:color="CCCCFF" w:fill="FFFFFF"/>
          </w:tcPr>
          <w:p>
            <w:pPr>
              <w:jc w:val="right"/>
              <w:rPr>
                <w:rFonts w:ascii="宋体" w:hAnsi="宋体"/>
                <w:sz w:val="18"/>
                <w:szCs w:val="18"/>
              </w:rPr>
            </w:pPr>
            <w:r>
              <w:rPr>
                <w:rFonts w:ascii="宋体" w:hAnsi="宋体"/>
                <w:sz w:val="18"/>
                <w:szCs w:val="18"/>
              </w:rPr>
              <w:t>5.42</w:t>
            </w:r>
          </w:p>
        </w:tc>
        <w:tc>
          <w:tcPr>
            <w:tcW w:w="1361" w:type="dxa"/>
            <w:tcBorders>
              <w:top w:val="nil"/>
              <w:left w:val="nil"/>
              <w:bottom w:val="single" w:color="000000" w:sz="4" w:space="0"/>
              <w:right w:val="single" w:color="000000" w:sz="4" w:space="0"/>
            </w:tcBorders>
            <w:shd w:val="clear" w:color="CCCCFF" w:fill="FFFFFF"/>
          </w:tcPr>
          <w:p>
            <w:pPr>
              <w:jc w:val="right"/>
              <w:rPr>
                <w:rFonts w:ascii="宋体" w:hAnsi="宋体"/>
                <w:sz w:val="18"/>
                <w:szCs w:val="18"/>
              </w:rPr>
            </w:pPr>
          </w:p>
        </w:tc>
        <w:tc>
          <w:tcPr>
            <w:tcW w:w="1361" w:type="dxa"/>
            <w:tcBorders>
              <w:top w:val="nil"/>
              <w:left w:val="nil"/>
              <w:bottom w:val="single" w:color="000000" w:sz="4" w:space="0"/>
              <w:right w:val="single" w:color="000000" w:sz="4" w:space="0"/>
            </w:tcBorders>
            <w:shd w:val="clear" w:color="CCCCFF" w:fill="FFFFFF"/>
          </w:tcPr>
          <w:p>
            <w:pPr>
              <w:jc w:val="right"/>
              <w:rPr>
                <w:rFonts w:ascii="宋体" w:hAnsi="宋体"/>
                <w:sz w:val="18"/>
                <w:szCs w:val="18"/>
              </w:rPr>
            </w:pPr>
            <w:r>
              <w:rPr>
                <w:rFonts w:ascii="宋体" w:hAnsi="宋体"/>
                <w:sz w:val="18"/>
                <w:szCs w:val="18"/>
              </w:rPr>
              <w:t>0.48</w:t>
            </w:r>
          </w:p>
        </w:tc>
        <w:tc>
          <w:tcPr>
            <w:tcW w:w="1361" w:type="dxa"/>
            <w:tcBorders>
              <w:top w:val="nil"/>
              <w:left w:val="nil"/>
              <w:bottom w:val="single" w:color="000000" w:sz="4" w:space="0"/>
              <w:right w:val="single" w:color="000000" w:sz="4" w:space="0"/>
            </w:tcBorders>
            <w:shd w:val="clear" w:color="CCCCFF" w:fill="FFFFFF"/>
          </w:tcPr>
          <w:p>
            <w:pPr>
              <w:jc w:val="right"/>
              <w:rPr>
                <w:rFonts w:ascii="宋体" w:hAnsi="宋体"/>
                <w:sz w:val="18"/>
                <w:szCs w:val="18"/>
              </w:rPr>
            </w:pPr>
          </w:p>
        </w:tc>
        <w:tc>
          <w:tcPr>
            <w:tcW w:w="1362" w:type="dxa"/>
            <w:tcBorders>
              <w:top w:val="nil"/>
              <w:left w:val="nil"/>
              <w:bottom w:val="single" w:color="000000" w:sz="4" w:space="0"/>
              <w:right w:val="single" w:color="000000" w:sz="4" w:space="0"/>
            </w:tcBorders>
            <w:shd w:val="clear" w:color="CCCCFF" w:fill="FFFFFF"/>
          </w:tcPr>
          <w:p>
            <w:pPr>
              <w:jc w:val="right"/>
              <w:rPr>
                <w:rFonts w:ascii="宋体" w:hAnsi="宋体"/>
                <w:sz w:val="18"/>
                <w:szCs w:val="18"/>
              </w:rPr>
            </w:pPr>
            <w:r>
              <w:rPr>
                <w:rFonts w:ascii="宋体" w:hAnsi="宋体"/>
                <w:sz w:val="18"/>
                <w:szCs w:val="18"/>
              </w:rPr>
              <w:t>4.94</w:t>
            </w:r>
          </w:p>
        </w:tc>
        <w:tc>
          <w:tcPr>
            <w:tcW w:w="1265" w:type="dxa"/>
            <w:tcBorders>
              <w:top w:val="nil"/>
              <w:left w:val="nil"/>
              <w:bottom w:val="single" w:color="000000" w:sz="4" w:space="0"/>
              <w:right w:val="single" w:color="000000" w:sz="4" w:space="0"/>
            </w:tcBorders>
            <w:shd w:val="clear" w:color="CCCCFF" w:fill="FFFFFF"/>
          </w:tcPr>
          <w:p>
            <w:pPr>
              <w:jc w:val="right"/>
              <w:rPr>
                <w:rFonts w:ascii="宋体" w:hAnsi="宋体"/>
                <w:sz w:val="18"/>
                <w:szCs w:val="18"/>
              </w:rPr>
            </w:pPr>
            <w:r>
              <w:rPr>
                <w:rFonts w:ascii="宋体" w:hAnsi="宋体"/>
                <w:sz w:val="18"/>
                <w:szCs w:val="18"/>
              </w:rPr>
              <w:t>8.00</w:t>
            </w:r>
          </w:p>
        </w:tc>
        <w:tc>
          <w:tcPr>
            <w:tcW w:w="1265" w:type="dxa"/>
            <w:tcBorders>
              <w:top w:val="nil"/>
              <w:left w:val="nil"/>
              <w:bottom w:val="single" w:color="000000" w:sz="4" w:space="0"/>
              <w:right w:val="nil"/>
            </w:tcBorders>
            <w:shd w:val="clear" w:color="CCCCFF" w:fill="FFFFFF"/>
          </w:tcPr>
          <w:p>
            <w:pPr>
              <w:jc w:val="right"/>
              <w:rPr>
                <w:rFonts w:ascii="宋体" w:hAnsi="宋体"/>
                <w:sz w:val="18"/>
                <w:szCs w:val="18"/>
              </w:rPr>
            </w:pPr>
            <w:r>
              <w:rPr>
                <w:rFonts w:ascii="宋体" w:hAnsi="宋体"/>
                <w:sz w:val="18"/>
                <w:szCs w:val="18"/>
              </w:rPr>
              <w:t>2.53</w:t>
            </w:r>
          </w:p>
        </w:tc>
      </w:tr>
    </w:tbl>
    <w:p>
      <w:pPr>
        <w:widowControl/>
        <w:spacing w:line="560" w:lineRule="exact"/>
        <w:ind w:firstLine="360" w:firstLineChars="200"/>
        <w:jc w:val="left"/>
        <w:rPr>
          <w:rFonts w:ascii="仿宋" w:hAnsi="微软雅黑" w:eastAsia="仿宋"/>
          <w:sz w:val="18"/>
          <w:szCs w:val="18"/>
        </w:rPr>
        <w:sectPr>
          <w:pgSz w:w="16838" w:h="11906" w:orient="landscape"/>
          <w:pgMar w:top="1134" w:right="1134" w:bottom="1134" w:left="1134" w:header="851" w:footer="992" w:gutter="0"/>
          <w:cols w:space="425" w:num="1"/>
          <w:docGrid w:type="lines" w:linePitch="312" w:charSpace="0"/>
        </w:sectPr>
      </w:pPr>
    </w:p>
    <w:p>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表九、一般公共预算财政拨款机关运行经费表</w:t>
      </w:r>
    </w:p>
    <w:p>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8"/>
        <w:tblW w:w="9411" w:type="dxa"/>
        <w:tblInd w:w="108" w:type="dxa"/>
        <w:tblLayout w:type="fixed"/>
        <w:tblCellMar>
          <w:top w:w="0" w:type="dxa"/>
          <w:left w:w="108" w:type="dxa"/>
          <w:bottom w:w="0" w:type="dxa"/>
          <w:right w:w="108" w:type="dxa"/>
        </w:tblCellMar>
      </w:tblPr>
      <w:tblGrid>
        <w:gridCol w:w="848"/>
        <w:gridCol w:w="3121"/>
        <w:gridCol w:w="1814"/>
        <w:gridCol w:w="1814"/>
        <w:gridCol w:w="1814"/>
      </w:tblGrid>
      <w:tr>
        <w:tblPrEx>
          <w:tblLayout w:type="fixed"/>
          <w:tblCellMar>
            <w:top w:w="0" w:type="dxa"/>
            <w:left w:w="108" w:type="dxa"/>
            <w:bottom w:w="0" w:type="dxa"/>
            <w:right w:w="108" w:type="dxa"/>
          </w:tblCellMar>
        </w:tblPrEx>
        <w:trPr>
          <w:trHeight w:val="20" w:hRule="atLeast"/>
        </w:trPr>
        <w:tc>
          <w:tcPr>
            <w:tcW w:w="848"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序号</w:t>
            </w:r>
          </w:p>
        </w:tc>
        <w:tc>
          <w:tcPr>
            <w:tcW w:w="3121"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部门预算支出经济分类科目</w:t>
            </w:r>
          </w:p>
        </w:tc>
        <w:tc>
          <w:tcPr>
            <w:tcW w:w="181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814"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基本支出</w:t>
            </w:r>
          </w:p>
        </w:tc>
        <w:tc>
          <w:tcPr>
            <w:tcW w:w="1814" w:type="dxa"/>
            <w:tcBorders>
              <w:top w:val="single" w:color="000000" w:sz="4" w:space="0"/>
              <w:left w:val="nil"/>
              <w:bottom w:val="single" w:color="000000"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项目支出</w:t>
            </w:r>
          </w:p>
        </w:tc>
      </w:tr>
      <w:tr>
        <w:tblPrEx>
          <w:tblLayout w:type="fixed"/>
          <w:tblCellMar>
            <w:top w:w="0" w:type="dxa"/>
            <w:left w:w="108" w:type="dxa"/>
            <w:bottom w:w="0" w:type="dxa"/>
            <w:right w:w="108" w:type="dxa"/>
          </w:tblCellMar>
        </w:tblPrEx>
        <w:trPr>
          <w:trHeight w:val="20" w:hRule="atLeast"/>
        </w:trPr>
        <w:tc>
          <w:tcPr>
            <w:tcW w:w="84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312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81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814"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814" w:type="dxa"/>
            <w:tcBorders>
              <w:top w:val="nil"/>
              <w:left w:val="nil"/>
              <w:bottom w:val="single" w:color="000000"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
                <w:bCs/>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
                <w:bCs/>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w:t>
            </w: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[30201]办公费</w:t>
            </w: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2</w:t>
            </w: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[30202]印刷费</w:t>
            </w: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3</w:t>
            </w: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[30205]水费</w:t>
            </w: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4</w:t>
            </w: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[30206]电费</w:t>
            </w: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5</w:t>
            </w: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[30207]邮电费</w:t>
            </w: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6</w:t>
            </w: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[30208]取暖费</w:t>
            </w: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7</w:t>
            </w: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[30209]物业管理费</w:t>
            </w: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8</w:t>
            </w: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[30211]差旅费</w:t>
            </w: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9</w:t>
            </w: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[30213]维修（护）费</w:t>
            </w: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10</w:t>
            </w: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[30215]会议费</w:t>
            </w: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11</w:t>
            </w: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[30218]专用材料费</w:t>
            </w: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12</w:t>
            </w: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[30229]福利费</w:t>
            </w: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13</w:t>
            </w: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[30231]公务用车运行维护费</w:t>
            </w: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14</w:t>
            </w: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[30299]其他商品和服务支出</w:t>
            </w: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Cs/>
                <w:color w:val="000000"/>
                <w:kern w:val="0"/>
                <w:sz w:val="18"/>
                <w:szCs w:val="18"/>
              </w:rPr>
            </w:pPr>
            <w:r>
              <w:rPr>
                <w:rFonts w:hint="eastAsia" w:ascii="宋体" w:hAnsi="宋体" w:cs="Arial"/>
                <w:bCs/>
                <w:color w:val="000000"/>
                <w:kern w:val="0"/>
                <w:sz w:val="18"/>
                <w:szCs w:val="18"/>
              </w:rPr>
              <w:t>15</w:t>
            </w: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Cs/>
                <w:color w:val="000000"/>
                <w:kern w:val="0"/>
                <w:sz w:val="18"/>
                <w:szCs w:val="18"/>
              </w:rPr>
            </w:pPr>
            <w:r>
              <w:rPr>
                <w:rFonts w:hint="eastAsia" w:ascii="宋体" w:hAnsi="宋体" w:cs="Arial"/>
                <w:bCs/>
                <w:color w:val="000000"/>
                <w:kern w:val="0"/>
                <w:sz w:val="18"/>
                <w:szCs w:val="18"/>
              </w:rPr>
              <w:t>[31002]办公设备购置</w:t>
            </w: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Cs/>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Cs/>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Cs/>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Cs/>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848" w:type="dxa"/>
            <w:tcBorders>
              <w:top w:val="single" w:color="000000" w:sz="4" w:space="0"/>
              <w:bottom w:val="single" w:color="auto" w:sz="4" w:space="0"/>
              <w:right w:val="single" w:color="000000" w:sz="4" w:space="0"/>
            </w:tcBorders>
            <w:shd w:val="clear" w:color="auto" w:fill="FFFFFF"/>
            <w:vAlign w:val="center"/>
          </w:tcPr>
          <w:p>
            <w:pPr>
              <w:widowControl/>
              <w:jc w:val="center"/>
              <w:rPr>
                <w:rFonts w:ascii="宋体" w:hAnsi="宋体" w:cs="Arial"/>
                <w:bCs/>
                <w:color w:val="000000"/>
                <w:kern w:val="0"/>
                <w:sz w:val="18"/>
                <w:szCs w:val="18"/>
              </w:rPr>
            </w:pPr>
          </w:p>
        </w:tc>
        <w:tc>
          <w:tcPr>
            <w:tcW w:w="3121"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right"/>
              <w:rPr>
                <w:rFonts w:ascii="宋体" w:hAnsi="宋体" w:cs="Arial"/>
                <w:bCs/>
                <w:color w:val="000000"/>
                <w:kern w:val="0"/>
                <w:sz w:val="18"/>
                <w:szCs w:val="18"/>
              </w:rPr>
            </w:pPr>
          </w:p>
        </w:tc>
        <w:tc>
          <w:tcPr>
            <w:tcW w:w="1814" w:type="dxa"/>
            <w:tcBorders>
              <w:top w:val="single" w:color="auto" w:sz="4" w:space="0"/>
              <w:left w:val="single" w:color="auto" w:sz="4" w:space="0"/>
              <w:bottom w:val="single" w:color="auto" w:sz="4" w:space="0"/>
              <w:right w:val="nil"/>
            </w:tcBorders>
            <w:shd w:val="clear" w:color="auto" w:fill="FFFFFF"/>
            <w:vAlign w:val="center"/>
          </w:tcPr>
          <w:p>
            <w:pPr>
              <w:widowControl/>
              <w:jc w:val="right"/>
              <w:rPr>
                <w:rFonts w:ascii="宋体" w:hAnsi="宋体" w:cs="Arial"/>
                <w:bCs/>
                <w:color w:val="000000"/>
                <w:kern w:val="0"/>
                <w:sz w:val="18"/>
                <w:szCs w:val="18"/>
              </w:rPr>
            </w:pPr>
          </w:p>
        </w:tc>
      </w:tr>
    </w:tbl>
    <w:p>
      <w:pPr>
        <w:widowControl/>
        <w:spacing w:line="560" w:lineRule="exact"/>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未安排预算，一般公共预算机关运行经费情况表为空表。</w:t>
      </w:r>
    </w:p>
    <w:p>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表十、政府性基金预算支出情况表</w:t>
      </w:r>
    </w:p>
    <w:p>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8"/>
        <w:tblW w:w="9498" w:type="dxa"/>
        <w:tblInd w:w="108" w:type="dxa"/>
        <w:tblLayout w:type="fixed"/>
        <w:tblCellMar>
          <w:top w:w="0" w:type="dxa"/>
          <w:left w:w="108" w:type="dxa"/>
          <w:bottom w:w="0" w:type="dxa"/>
          <w:right w:w="108" w:type="dxa"/>
        </w:tblCellMar>
      </w:tblPr>
      <w:tblGrid>
        <w:gridCol w:w="7655"/>
        <w:gridCol w:w="1843"/>
      </w:tblGrid>
      <w:tr>
        <w:tblPrEx>
          <w:tblLayout w:type="fixed"/>
          <w:tblCellMar>
            <w:top w:w="0" w:type="dxa"/>
            <w:left w:w="108" w:type="dxa"/>
            <w:bottom w:w="0" w:type="dxa"/>
            <w:right w:w="108" w:type="dxa"/>
          </w:tblCellMar>
        </w:tblPrEx>
        <w:trPr>
          <w:trHeight w:val="521" w:hRule="atLeast"/>
          <w:tblHeader/>
        </w:trPr>
        <w:tc>
          <w:tcPr>
            <w:tcW w:w="7655" w:type="dxa"/>
            <w:vMerge w:val="restart"/>
            <w:tcBorders>
              <w:top w:val="single" w:color="000000" w:sz="4" w:space="0"/>
              <w:left w:val="nil"/>
              <w:bottom w:val="single" w:color="000000" w:sz="4" w:space="0"/>
              <w:right w:val="nil"/>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项目</w:t>
            </w:r>
          </w:p>
        </w:tc>
        <w:tc>
          <w:tcPr>
            <w:tcW w:w="1843"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预算数</w:t>
            </w:r>
          </w:p>
        </w:tc>
      </w:tr>
      <w:tr>
        <w:tblPrEx>
          <w:tblLayout w:type="fixed"/>
          <w:tblCellMar>
            <w:top w:w="0" w:type="dxa"/>
            <w:left w:w="108" w:type="dxa"/>
            <w:bottom w:w="0" w:type="dxa"/>
            <w:right w:w="108" w:type="dxa"/>
          </w:tblCellMar>
        </w:tblPrEx>
        <w:trPr>
          <w:trHeight w:val="521" w:hRule="atLeast"/>
          <w:tblHeader/>
        </w:trPr>
        <w:tc>
          <w:tcPr>
            <w:tcW w:w="7655" w:type="dxa"/>
            <w:vMerge w:val="continue"/>
            <w:tcBorders>
              <w:top w:val="single" w:color="000000" w:sz="4" w:space="0"/>
              <w:left w:val="nil"/>
              <w:bottom w:val="single" w:color="000000" w:sz="4" w:space="0"/>
              <w:right w:val="nil"/>
            </w:tcBorders>
            <w:vAlign w:val="center"/>
          </w:tcPr>
          <w:p>
            <w:pPr>
              <w:widowControl/>
              <w:jc w:val="left"/>
              <w:rPr>
                <w:rFonts w:ascii="宋体" w:hAnsi="宋体" w:cs="Arial"/>
                <w:b/>
                <w:bCs/>
                <w:color w:val="000000"/>
                <w:kern w:val="0"/>
                <w:sz w:val="20"/>
                <w:szCs w:val="20"/>
              </w:rPr>
            </w:pPr>
          </w:p>
        </w:tc>
        <w:tc>
          <w:tcPr>
            <w:tcW w:w="1843"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Arial"/>
                <w:b/>
                <w:bCs/>
                <w:color w:val="000000"/>
                <w:kern w:val="0"/>
                <w:sz w:val="20"/>
                <w:szCs w:val="20"/>
              </w:rPr>
            </w:pPr>
          </w:p>
        </w:tc>
      </w:tr>
      <w:tr>
        <w:tblPrEx>
          <w:tblLayout w:type="fixed"/>
          <w:tblCellMar>
            <w:top w:w="0" w:type="dxa"/>
            <w:left w:w="108" w:type="dxa"/>
            <w:bottom w:w="0" w:type="dxa"/>
            <w:right w:w="108" w:type="dxa"/>
          </w:tblCellMar>
        </w:tblPrEx>
        <w:trPr>
          <w:trHeight w:val="312" w:hRule="atLeast"/>
          <w:tblHeader/>
        </w:trPr>
        <w:tc>
          <w:tcPr>
            <w:tcW w:w="7655" w:type="dxa"/>
            <w:tcBorders>
              <w:top w:val="single" w:color="000000" w:sz="4" w:space="0"/>
              <w:left w:val="nil"/>
              <w:bottom w:val="single" w:color="000000" w:sz="4" w:space="0"/>
              <w:right w:val="nil"/>
            </w:tcBorders>
            <w:vAlign w:val="center"/>
          </w:tcPr>
          <w:p>
            <w:pPr>
              <w:widowControl/>
              <w:jc w:val="center"/>
              <w:rPr>
                <w:rFonts w:ascii="宋体" w:hAnsi="宋体" w:cs="Arial"/>
                <w:b/>
                <w:bCs/>
                <w:color w:val="000000"/>
                <w:kern w:val="0"/>
                <w:sz w:val="20"/>
                <w:szCs w:val="20"/>
              </w:rPr>
            </w:pPr>
            <w:r>
              <w:rPr>
                <w:rFonts w:hint="eastAsia" w:ascii="宋体" w:hAnsi="宋体" w:cs="Arial"/>
                <w:b/>
                <w:color w:val="000000"/>
                <w:kern w:val="0"/>
                <w:sz w:val="18"/>
                <w:szCs w:val="18"/>
              </w:rPr>
              <w:t>**</w:t>
            </w:r>
          </w:p>
        </w:tc>
        <w:tc>
          <w:tcPr>
            <w:tcW w:w="1843" w:type="dxa"/>
            <w:tcBorders>
              <w:top w:val="single" w:color="000000" w:sz="4" w:space="0"/>
              <w:left w:val="single" w:color="000000" w:sz="4" w:space="0"/>
              <w:bottom w:val="single" w:color="000000" w:sz="4" w:space="0"/>
              <w:right w:val="nil"/>
            </w:tcBorders>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1</w:t>
            </w:r>
          </w:p>
        </w:tc>
      </w:tr>
      <w:tr>
        <w:tblPrEx>
          <w:tblLayout w:type="fixed"/>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vAlign w:val="center"/>
          </w:tcPr>
          <w:p>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vAlign w:val="center"/>
          </w:tcPr>
          <w:p>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vAlign w:val="center"/>
          </w:tcPr>
          <w:p>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vAlign w:val="center"/>
          </w:tcPr>
          <w:p>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vAlign w:val="center"/>
          </w:tcPr>
          <w:p>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vAlign w:val="center"/>
          </w:tcPr>
          <w:p>
            <w:pPr>
              <w:widowControl/>
              <w:jc w:val="right"/>
              <w:rPr>
                <w:rFonts w:ascii="宋体" w:hAnsi="宋体" w:cs="Arial"/>
                <w:color w:val="000000"/>
                <w:kern w:val="0"/>
                <w:sz w:val="18"/>
                <w:szCs w:val="18"/>
              </w:rPr>
            </w:pPr>
          </w:p>
        </w:tc>
      </w:tr>
    </w:tbl>
    <w:p>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未安排预算，政府性基金预算支出情况表为空表。</w:t>
      </w:r>
    </w:p>
    <w:p>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表十一、部门管理转移支付表</w:t>
      </w:r>
    </w:p>
    <w:p>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8"/>
        <w:tblW w:w="9526" w:type="dxa"/>
        <w:tblInd w:w="108" w:type="dxa"/>
        <w:tblLayout w:type="fixed"/>
        <w:tblCellMar>
          <w:top w:w="0" w:type="dxa"/>
          <w:left w:w="108" w:type="dxa"/>
          <w:bottom w:w="0" w:type="dxa"/>
          <w:right w:w="108" w:type="dxa"/>
        </w:tblCellMar>
      </w:tblPr>
      <w:tblGrid>
        <w:gridCol w:w="4082"/>
        <w:gridCol w:w="1361"/>
        <w:gridCol w:w="1361"/>
        <w:gridCol w:w="1361"/>
        <w:gridCol w:w="1361"/>
      </w:tblGrid>
      <w:tr>
        <w:tblPrEx>
          <w:tblLayout w:type="fixed"/>
          <w:tblCellMar>
            <w:top w:w="0" w:type="dxa"/>
            <w:left w:w="108" w:type="dxa"/>
            <w:bottom w:w="0" w:type="dxa"/>
            <w:right w:w="108" w:type="dxa"/>
          </w:tblCellMar>
        </w:tblPrEx>
        <w:trPr>
          <w:trHeight w:val="20" w:hRule="atLeast"/>
          <w:tblHeader/>
        </w:trPr>
        <w:tc>
          <w:tcPr>
            <w:tcW w:w="4082"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单位名称</w:t>
            </w:r>
          </w:p>
        </w:tc>
        <w:tc>
          <w:tcPr>
            <w:tcW w:w="1361"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合计</w:t>
            </w:r>
          </w:p>
        </w:tc>
        <w:tc>
          <w:tcPr>
            <w:tcW w:w="1361"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一般公共预算项目支出</w:t>
            </w:r>
          </w:p>
        </w:tc>
        <w:tc>
          <w:tcPr>
            <w:tcW w:w="1361" w:type="dxa"/>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政府性基金预算项目支出</w:t>
            </w:r>
          </w:p>
        </w:tc>
        <w:tc>
          <w:tcPr>
            <w:tcW w:w="1361" w:type="dxa"/>
            <w:tcBorders>
              <w:top w:val="single" w:color="000000" w:sz="4" w:space="0"/>
              <w:left w:val="nil"/>
              <w:bottom w:val="single" w:color="000000"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国有资本经营预算项目支出</w:t>
            </w:r>
          </w:p>
        </w:tc>
      </w:tr>
      <w:tr>
        <w:tblPrEx>
          <w:tblLayout w:type="fixed"/>
          <w:tblCellMar>
            <w:top w:w="0" w:type="dxa"/>
            <w:left w:w="108" w:type="dxa"/>
            <w:bottom w:w="0" w:type="dxa"/>
            <w:right w:w="108" w:type="dxa"/>
          </w:tblCellMar>
        </w:tblPrEx>
        <w:trPr>
          <w:trHeight w:val="20" w:hRule="atLeast"/>
          <w:tblHeader/>
        </w:trPr>
        <w:tc>
          <w:tcPr>
            <w:tcW w:w="408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w:t>
            </w:r>
          </w:p>
        </w:tc>
        <w:tc>
          <w:tcPr>
            <w:tcW w:w="13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1</w:t>
            </w:r>
          </w:p>
        </w:tc>
        <w:tc>
          <w:tcPr>
            <w:tcW w:w="13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2</w:t>
            </w:r>
          </w:p>
        </w:tc>
        <w:tc>
          <w:tcPr>
            <w:tcW w:w="136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3</w:t>
            </w:r>
          </w:p>
        </w:tc>
        <w:tc>
          <w:tcPr>
            <w:tcW w:w="1361" w:type="dxa"/>
            <w:tcBorders>
              <w:top w:val="nil"/>
              <w:left w:val="nil"/>
              <w:bottom w:val="single" w:color="000000" w:sz="4" w:space="0"/>
              <w:right w:val="nil"/>
            </w:tcBorders>
            <w:shd w:val="clear" w:color="auto" w:fill="auto"/>
            <w:vAlign w:val="center"/>
          </w:tcPr>
          <w:p>
            <w:pPr>
              <w:widowControl/>
              <w:jc w:val="center"/>
              <w:rPr>
                <w:rFonts w:ascii="宋体" w:hAnsi="宋体" w:cs="Arial"/>
                <w:b/>
                <w:color w:val="000000"/>
                <w:kern w:val="0"/>
                <w:sz w:val="18"/>
                <w:szCs w:val="18"/>
              </w:rPr>
            </w:pPr>
            <w:r>
              <w:rPr>
                <w:rFonts w:hint="eastAsia" w:ascii="宋体" w:hAnsi="宋体" w:cs="Arial"/>
                <w:b/>
                <w:color w:val="000000"/>
                <w:kern w:val="0"/>
                <w:sz w:val="18"/>
                <w:szCs w:val="18"/>
              </w:rPr>
              <w:t>4</w:t>
            </w:r>
          </w:p>
        </w:tc>
      </w:tr>
      <w:tr>
        <w:tblPrEx>
          <w:tblLayout w:type="fixed"/>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4082" w:type="dxa"/>
            <w:tcBorders>
              <w:top w:val="nil"/>
              <w:left w:val="nil"/>
              <w:bottom w:val="single" w:color="000000" w:sz="4" w:space="0"/>
              <w:right w:val="single" w:color="000000" w:sz="4" w:space="0"/>
            </w:tcBorders>
            <w:shd w:val="clear" w:color="FFFFFF" w:fill="FFFFFF"/>
            <w:vAlign w:val="center"/>
          </w:tcPr>
          <w:p>
            <w:pPr>
              <w:widowControl/>
              <w:jc w:val="lef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single" w:color="000000" w:sz="4" w:space="0"/>
            </w:tcBorders>
            <w:shd w:val="clear" w:color="FFFFFF" w:fill="FFFFFF"/>
            <w:vAlign w:val="center"/>
          </w:tcPr>
          <w:p>
            <w:pPr>
              <w:widowControl/>
              <w:jc w:val="right"/>
              <w:rPr>
                <w:rFonts w:ascii="宋体" w:hAnsi="宋体" w:cs="Arial"/>
                <w:color w:val="000000"/>
                <w:kern w:val="0"/>
                <w:sz w:val="18"/>
                <w:szCs w:val="18"/>
              </w:rPr>
            </w:pPr>
          </w:p>
        </w:tc>
        <w:tc>
          <w:tcPr>
            <w:tcW w:w="1361" w:type="dxa"/>
            <w:tcBorders>
              <w:top w:val="nil"/>
              <w:left w:val="nil"/>
              <w:bottom w:val="single" w:color="000000" w:sz="4" w:space="0"/>
              <w:right w:val="nil"/>
            </w:tcBorders>
            <w:shd w:val="clear" w:color="FFFFFF" w:fill="FFFFFF"/>
            <w:vAlign w:val="center"/>
          </w:tcPr>
          <w:p>
            <w:pPr>
              <w:widowControl/>
              <w:jc w:val="right"/>
              <w:rPr>
                <w:rFonts w:ascii="宋体" w:hAnsi="宋体" w:cs="Arial"/>
                <w:color w:val="000000"/>
                <w:kern w:val="0"/>
                <w:sz w:val="18"/>
                <w:szCs w:val="18"/>
              </w:rPr>
            </w:pPr>
          </w:p>
        </w:tc>
      </w:tr>
    </w:tbl>
    <w:p>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未安排预算，部门管理转移支付表为空表。</w:t>
      </w:r>
    </w:p>
    <w:p>
      <w:pPr>
        <w:spacing w:line="600" w:lineRule="exact"/>
        <w:jc w:val="center"/>
        <w:rPr>
          <w:rFonts w:ascii="仿宋" w:hAnsi="宋体" w:eastAsia="仿宋" w:cs="宋体"/>
          <w:kern w:val="0"/>
          <w:sz w:val="32"/>
          <w:szCs w:val="32"/>
        </w:rPr>
      </w:pPr>
      <w:r>
        <w:rPr>
          <w:rFonts w:hint="eastAsia" w:ascii="仿宋" w:hAnsi="宋体" w:eastAsia="仿宋" w:cs="宋体"/>
          <w:kern w:val="0"/>
          <w:sz w:val="32"/>
          <w:szCs w:val="32"/>
        </w:rPr>
        <w:t>表十二、国有资本经营预算支出情况表</w:t>
      </w:r>
    </w:p>
    <w:p>
      <w:pPr>
        <w:wordWrap w:val="0"/>
        <w:jc w:val="right"/>
        <w:rPr>
          <w:rFonts w:ascii="宋体" w:hAnsi="宋体" w:cs="Arial"/>
          <w:color w:val="000000"/>
          <w:kern w:val="0"/>
          <w:sz w:val="18"/>
          <w:szCs w:val="18"/>
        </w:rPr>
      </w:pPr>
      <w:r>
        <w:rPr>
          <w:rFonts w:hint="eastAsia" w:ascii="宋体" w:hAnsi="宋体" w:cs="Arial"/>
          <w:color w:val="000000"/>
          <w:kern w:val="0"/>
          <w:sz w:val="18"/>
          <w:szCs w:val="18"/>
        </w:rPr>
        <w:t xml:space="preserve">单位：万元 </w:t>
      </w:r>
    </w:p>
    <w:tbl>
      <w:tblPr>
        <w:tblStyle w:val="8"/>
        <w:tblW w:w="9498" w:type="dxa"/>
        <w:tblInd w:w="108" w:type="dxa"/>
        <w:tblLayout w:type="fixed"/>
        <w:tblCellMar>
          <w:top w:w="0" w:type="dxa"/>
          <w:left w:w="108" w:type="dxa"/>
          <w:bottom w:w="0" w:type="dxa"/>
          <w:right w:w="108" w:type="dxa"/>
        </w:tblCellMar>
      </w:tblPr>
      <w:tblGrid>
        <w:gridCol w:w="7655"/>
        <w:gridCol w:w="1843"/>
      </w:tblGrid>
      <w:tr>
        <w:tblPrEx>
          <w:tblLayout w:type="fixed"/>
          <w:tblCellMar>
            <w:top w:w="0" w:type="dxa"/>
            <w:left w:w="108" w:type="dxa"/>
            <w:bottom w:w="0" w:type="dxa"/>
            <w:right w:w="108" w:type="dxa"/>
          </w:tblCellMar>
        </w:tblPrEx>
        <w:trPr>
          <w:trHeight w:val="521" w:hRule="atLeast"/>
          <w:tblHeader/>
        </w:trPr>
        <w:tc>
          <w:tcPr>
            <w:tcW w:w="7655" w:type="dxa"/>
            <w:vMerge w:val="restart"/>
            <w:tcBorders>
              <w:top w:val="single" w:color="000000" w:sz="4" w:space="0"/>
              <w:left w:val="nil"/>
              <w:bottom w:val="single" w:color="000000" w:sz="4" w:space="0"/>
              <w:right w:val="nil"/>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项目</w:t>
            </w:r>
          </w:p>
        </w:tc>
        <w:tc>
          <w:tcPr>
            <w:tcW w:w="1843" w:type="dxa"/>
            <w:vMerge w:val="restart"/>
            <w:tcBorders>
              <w:top w:val="single" w:color="000000" w:sz="4" w:space="0"/>
              <w:left w:val="single" w:color="000000" w:sz="4" w:space="0"/>
              <w:bottom w:val="single" w:color="000000" w:sz="4" w:space="0"/>
              <w:right w:val="nil"/>
            </w:tcBorders>
            <w:shd w:val="clear" w:color="auto" w:fill="auto"/>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预算数</w:t>
            </w:r>
          </w:p>
        </w:tc>
      </w:tr>
      <w:tr>
        <w:tblPrEx>
          <w:tblLayout w:type="fixed"/>
          <w:tblCellMar>
            <w:top w:w="0" w:type="dxa"/>
            <w:left w:w="108" w:type="dxa"/>
            <w:bottom w:w="0" w:type="dxa"/>
            <w:right w:w="108" w:type="dxa"/>
          </w:tblCellMar>
        </w:tblPrEx>
        <w:trPr>
          <w:trHeight w:val="521" w:hRule="atLeast"/>
          <w:tblHeader/>
        </w:trPr>
        <w:tc>
          <w:tcPr>
            <w:tcW w:w="7655" w:type="dxa"/>
            <w:vMerge w:val="continue"/>
            <w:tcBorders>
              <w:top w:val="single" w:color="000000" w:sz="4" w:space="0"/>
              <w:left w:val="nil"/>
              <w:bottom w:val="single" w:color="000000" w:sz="4" w:space="0"/>
              <w:right w:val="nil"/>
            </w:tcBorders>
            <w:vAlign w:val="center"/>
          </w:tcPr>
          <w:p>
            <w:pPr>
              <w:widowControl/>
              <w:jc w:val="left"/>
              <w:rPr>
                <w:rFonts w:ascii="宋体" w:hAnsi="宋体" w:cs="Arial"/>
                <w:b/>
                <w:bCs/>
                <w:color w:val="000000"/>
                <w:kern w:val="0"/>
                <w:sz w:val="20"/>
                <w:szCs w:val="20"/>
              </w:rPr>
            </w:pPr>
          </w:p>
        </w:tc>
        <w:tc>
          <w:tcPr>
            <w:tcW w:w="1843" w:type="dxa"/>
            <w:vMerge w:val="continue"/>
            <w:tcBorders>
              <w:top w:val="single" w:color="000000" w:sz="4" w:space="0"/>
              <w:left w:val="single" w:color="000000" w:sz="4" w:space="0"/>
              <w:bottom w:val="single" w:color="000000" w:sz="4" w:space="0"/>
              <w:right w:val="nil"/>
            </w:tcBorders>
            <w:vAlign w:val="center"/>
          </w:tcPr>
          <w:p>
            <w:pPr>
              <w:widowControl/>
              <w:jc w:val="left"/>
              <w:rPr>
                <w:rFonts w:ascii="宋体" w:hAnsi="宋体" w:cs="Arial"/>
                <w:b/>
                <w:bCs/>
                <w:color w:val="000000"/>
                <w:kern w:val="0"/>
                <w:sz w:val="20"/>
                <w:szCs w:val="20"/>
              </w:rPr>
            </w:pPr>
          </w:p>
        </w:tc>
      </w:tr>
      <w:tr>
        <w:tblPrEx>
          <w:tblLayout w:type="fixed"/>
          <w:tblCellMar>
            <w:top w:w="0" w:type="dxa"/>
            <w:left w:w="108" w:type="dxa"/>
            <w:bottom w:w="0" w:type="dxa"/>
            <w:right w:w="108" w:type="dxa"/>
          </w:tblCellMar>
        </w:tblPrEx>
        <w:trPr>
          <w:trHeight w:val="312" w:hRule="atLeast"/>
          <w:tblHeader/>
        </w:trPr>
        <w:tc>
          <w:tcPr>
            <w:tcW w:w="7655" w:type="dxa"/>
            <w:tcBorders>
              <w:top w:val="single" w:color="000000" w:sz="4" w:space="0"/>
              <w:left w:val="nil"/>
              <w:bottom w:val="single" w:color="000000" w:sz="4" w:space="0"/>
              <w:right w:val="nil"/>
            </w:tcBorders>
            <w:vAlign w:val="center"/>
          </w:tcPr>
          <w:p>
            <w:pPr>
              <w:widowControl/>
              <w:jc w:val="center"/>
              <w:rPr>
                <w:rFonts w:ascii="宋体" w:hAnsi="宋体" w:cs="Arial"/>
                <w:b/>
                <w:bCs/>
                <w:color w:val="000000"/>
                <w:kern w:val="0"/>
                <w:sz w:val="20"/>
                <w:szCs w:val="20"/>
              </w:rPr>
            </w:pPr>
            <w:r>
              <w:rPr>
                <w:rFonts w:hint="eastAsia" w:ascii="宋体" w:hAnsi="宋体" w:cs="Arial"/>
                <w:b/>
                <w:color w:val="000000"/>
                <w:kern w:val="0"/>
                <w:sz w:val="18"/>
                <w:szCs w:val="18"/>
              </w:rPr>
              <w:t>**</w:t>
            </w:r>
          </w:p>
        </w:tc>
        <w:tc>
          <w:tcPr>
            <w:tcW w:w="1843" w:type="dxa"/>
            <w:tcBorders>
              <w:top w:val="single" w:color="000000" w:sz="4" w:space="0"/>
              <w:left w:val="single" w:color="000000" w:sz="4" w:space="0"/>
              <w:bottom w:val="single" w:color="000000" w:sz="4" w:space="0"/>
              <w:right w:val="nil"/>
            </w:tcBorders>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1</w:t>
            </w:r>
          </w:p>
        </w:tc>
      </w:tr>
      <w:tr>
        <w:tblPrEx>
          <w:tblLayout w:type="fixed"/>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vAlign w:val="center"/>
          </w:tcPr>
          <w:p>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vAlign w:val="center"/>
          </w:tcPr>
          <w:p>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vAlign w:val="center"/>
          </w:tcPr>
          <w:p>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vAlign w:val="center"/>
          </w:tcPr>
          <w:p>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vAlign w:val="center"/>
          </w:tcPr>
          <w:p>
            <w:pPr>
              <w:widowControl/>
              <w:jc w:val="right"/>
              <w:rPr>
                <w:rFonts w:ascii="宋体" w:hAnsi="宋体" w:cs="Arial"/>
                <w:color w:val="000000"/>
                <w:kern w:val="0"/>
                <w:sz w:val="18"/>
                <w:szCs w:val="18"/>
              </w:rPr>
            </w:pPr>
          </w:p>
        </w:tc>
      </w:tr>
      <w:tr>
        <w:tblPrEx>
          <w:tblLayout w:type="fixed"/>
          <w:tblCellMar>
            <w:top w:w="0" w:type="dxa"/>
            <w:left w:w="108" w:type="dxa"/>
            <w:bottom w:w="0" w:type="dxa"/>
            <w:right w:w="108" w:type="dxa"/>
          </w:tblCellMar>
        </w:tblPrEx>
        <w:trPr>
          <w:trHeight w:val="20" w:hRule="atLeast"/>
        </w:trPr>
        <w:tc>
          <w:tcPr>
            <w:tcW w:w="7655" w:type="dxa"/>
            <w:tcBorders>
              <w:top w:val="single" w:color="000000" w:sz="4" w:space="0"/>
              <w:left w:val="nil"/>
              <w:bottom w:val="single" w:color="000000" w:sz="4" w:space="0"/>
              <w:right w:val="nil"/>
            </w:tcBorders>
            <w:shd w:val="clear" w:color="auto" w:fill="FFFFFF"/>
            <w:vAlign w:val="center"/>
          </w:tcPr>
          <w:p>
            <w:pPr>
              <w:widowControl/>
              <w:jc w:val="left"/>
              <w:rPr>
                <w:rFonts w:ascii="宋体" w:hAnsi="宋体" w:cs="Arial"/>
                <w:color w:val="000000"/>
                <w:kern w:val="0"/>
                <w:sz w:val="18"/>
                <w:szCs w:val="18"/>
              </w:rPr>
            </w:pPr>
          </w:p>
        </w:tc>
        <w:tc>
          <w:tcPr>
            <w:tcW w:w="1843" w:type="dxa"/>
            <w:tcBorders>
              <w:top w:val="single" w:color="000000" w:sz="4" w:space="0"/>
              <w:left w:val="single" w:color="000000" w:sz="4" w:space="0"/>
              <w:bottom w:val="single" w:color="000000" w:sz="4" w:space="0"/>
              <w:right w:val="nil"/>
            </w:tcBorders>
            <w:shd w:val="clear" w:color="auto" w:fill="FFFFFF"/>
            <w:vAlign w:val="center"/>
          </w:tcPr>
          <w:p>
            <w:pPr>
              <w:widowControl/>
              <w:jc w:val="right"/>
              <w:rPr>
                <w:rFonts w:ascii="宋体" w:hAnsi="宋体" w:cs="Arial"/>
                <w:color w:val="000000"/>
                <w:kern w:val="0"/>
                <w:sz w:val="18"/>
                <w:szCs w:val="18"/>
              </w:rPr>
            </w:pPr>
          </w:p>
        </w:tc>
      </w:tr>
    </w:tbl>
    <w:p>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r>
        <w:rPr>
          <w:rFonts w:hint="eastAsia" w:ascii="仿宋" w:hAnsi="微软雅黑" w:eastAsia="仿宋"/>
          <w:sz w:val="18"/>
          <w:szCs w:val="18"/>
        </w:rPr>
        <w:t>未安排预算，国有资本经营预算支出情况表为空表。</w:t>
      </w:r>
    </w:p>
    <w:p>
      <w:r>
        <w:rPr>
          <w:rFonts w:hint="eastAsia"/>
        </w:rPr>
        <w:t>附件2</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rPr>
          <w:sz w:val="24"/>
        </w:rPr>
      </w:pPr>
      <w:r>
        <w:rPr>
          <w:rFonts w:hint="eastAsia"/>
        </w:rPr>
        <w:tab/>
      </w:r>
      <w:r>
        <w:rPr>
          <w:rFonts w:hint="eastAsia"/>
          <w:sz w:val="24"/>
          <w:szCs w:val="24"/>
        </w:rPr>
        <w:t>单位代码：</w:t>
      </w:r>
      <w:r>
        <w:rPr>
          <w:rFonts w:hint="eastAsia"/>
          <w:sz w:val="24"/>
          <w:szCs w:val="24"/>
        </w:rPr>
        <w:tab/>
      </w:r>
      <w:r>
        <w:rPr>
          <w:rFonts w:hint="eastAsia"/>
          <w:sz w:val="24"/>
          <w:szCs w:val="24"/>
        </w:rPr>
        <w:t>303007</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p>
    <w:p>
      <w:r>
        <w:rPr>
          <w:rFonts w:hint="eastAsia"/>
          <w:sz w:val="24"/>
          <w:szCs w:val="24"/>
        </w:rPr>
        <w:tab/>
      </w:r>
      <w:r>
        <w:rPr>
          <w:rFonts w:hint="eastAsia"/>
          <w:sz w:val="24"/>
          <w:szCs w:val="24"/>
        </w:rPr>
        <w:t>单位名称：</w:t>
      </w:r>
      <w:r>
        <w:rPr>
          <w:rFonts w:hint="eastAsia"/>
          <w:sz w:val="24"/>
          <w:szCs w:val="24"/>
        </w:rPr>
        <w:tab/>
      </w:r>
      <w:r>
        <w:rPr>
          <w:rFonts w:hint="eastAsia"/>
          <w:sz w:val="24"/>
          <w:szCs w:val="24"/>
        </w:rPr>
        <w:t>甘肃省教育科学研究院</w:t>
      </w:r>
      <w:r>
        <w:rPr>
          <w:rFonts w:hint="eastAsia"/>
          <w:sz w:val="24"/>
          <w:szCs w:val="24"/>
        </w:rPr>
        <w:tab/>
      </w:r>
      <w:r>
        <w:rPr>
          <w:rFonts w:hint="eastAsia"/>
          <w:sz w:val="24"/>
          <w:szCs w:val="24"/>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jc w:val="center"/>
      </w:pPr>
    </w:p>
    <w:p>
      <w:pPr>
        <w:jc w:val="center"/>
      </w:pPr>
    </w:p>
    <w:p>
      <w:pPr>
        <w:jc w:val="center"/>
      </w:pPr>
      <w:r>
        <w:rPr>
          <w:rFonts w:hint="eastAsia"/>
          <w:b/>
          <w:bCs/>
          <w:sz w:val="44"/>
          <w:szCs w:val="44"/>
        </w:rPr>
        <w:t>甘肃省教育科学研究院2024年单位整体绩效及预算项目绩效目标表</w:t>
      </w:r>
    </w:p>
    <w:p>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pPr>
        <w:jc w:val="center"/>
      </w:pPr>
    </w:p>
    <w:p/>
    <w:p>
      <w:pPr>
        <w:jc w:val="center"/>
      </w:pPr>
    </w:p>
    <w:p>
      <w:pPr>
        <w:ind w:firstLine="5520" w:firstLineChars="2300"/>
        <w:rPr>
          <w:sz w:val="24"/>
        </w:rPr>
      </w:pPr>
    </w:p>
    <w:p>
      <w:pPr>
        <w:ind w:firstLine="6240" w:firstLineChars="2600"/>
        <w:rPr>
          <w:sz w:val="24"/>
        </w:rPr>
      </w:pPr>
      <w:r>
        <w:rPr>
          <w:rFonts w:hint="eastAsia"/>
          <w:sz w:val="24"/>
          <w:szCs w:val="24"/>
        </w:rPr>
        <w:t>编制日期：2024年2月23日</w:t>
      </w:r>
    </w:p>
    <w:p>
      <w:pPr>
        <w:rPr>
          <w:sz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p>
    <w:p>
      <w:pPr>
        <w:rPr>
          <w:sz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p>
    <w:p>
      <w:pPr>
        <w:ind w:firstLine="1200" w:firstLineChars="500"/>
        <w:jc w:val="center"/>
        <w:rPr>
          <w:sz w:val="24"/>
        </w:rPr>
      </w:pPr>
      <w:r>
        <w:rPr>
          <w:rFonts w:hint="eastAsia"/>
          <w:sz w:val="24"/>
          <w:szCs w:val="24"/>
        </w:rPr>
        <w:t>部门领导：郝玲</w:t>
      </w:r>
      <w:r>
        <w:rPr>
          <w:rFonts w:hint="eastAsia"/>
          <w:sz w:val="24"/>
          <w:szCs w:val="24"/>
        </w:rPr>
        <w:tab/>
      </w:r>
      <w:r>
        <w:rPr>
          <w:rFonts w:hint="eastAsia"/>
          <w:sz w:val="24"/>
          <w:szCs w:val="24"/>
        </w:rPr>
        <w:tab/>
      </w:r>
      <w:r>
        <w:rPr>
          <w:rFonts w:hint="eastAsia"/>
          <w:sz w:val="24"/>
          <w:szCs w:val="24"/>
        </w:rPr>
        <w:t xml:space="preserve">                  财务负责人：俞雪山</w:t>
      </w:r>
      <w:r>
        <w:rPr>
          <w:rFonts w:hint="eastAsia"/>
          <w:sz w:val="24"/>
          <w:szCs w:val="24"/>
        </w:rPr>
        <w:tab/>
      </w:r>
      <w:r>
        <w:rPr>
          <w:rFonts w:hint="eastAsia"/>
          <w:sz w:val="24"/>
          <w:szCs w:val="24"/>
        </w:rPr>
        <w:tab/>
      </w:r>
      <w:r>
        <w:rPr>
          <w:rFonts w:hint="eastAsia"/>
          <w:sz w:val="24"/>
          <w:szCs w:val="24"/>
        </w:rPr>
        <w:t xml:space="preserve">                 制表人：马鹏花</w:t>
      </w:r>
    </w:p>
    <w:p>
      <w:pPr>
        <w:ind w:firstLine="4859" w:firstLineChars="1100"/>
        <w:rPr>
          <w:b/>
          <w:bCs/>
          <w:sz w:val="44"/>
          <w:szCs w:val="44"/>
        </w:rPr>
      </w:pPr>
      <w:r>
        <w:rPr>
          <w:rFonts w:hint="eastAsia"/>
          <w:b/>
          <w:bCs/>
          <w:sz w:val="44"/>
          <w:szCs w:val="44"/>
        </w:rPr>
        <w:t>目 录</w:t>
      </w:r>
    </w:p>
    <w:p>
      <w:pPr>
        <w:numPr>
          <w:ilvl w:val="0"/>
          <w:numId w:val="1"/>
        </w:numPr>
        <w:rPr>
          <w:b/>
          <w:bCs/>
          <w:sz w:val="32"/>
          <w:szCs w:val="32"/>
        </w:rPr>
      </w:pPr>
      <w:r>
        <w:rPr>
          <w:rFonts w:hint="eastAsia"/>
          <w:b/>
          <w:bCs/>
          <w:sz w:val="32"/>
          <w:szCs w:val="32"/>
        </w:rPr>
        <w:t>单位整体支出绩效目标表</w:t>
      </w:r>
    </w:p>
    <w:p>
      <w:pPr>
        <w:numPr>
          <w:ilvl w:val="0"/>
          <w:numId w:val="1"/>
        </w:numPr>
        <w:rPr>
          <w:b/>
          <w:bCs/>
          <w:sz w:val="32"/>
          <w:szCs w:val="32"/>
        </w:rPr>
      </w:pPr>
      <w:r>
        <w:rPr>
          <w:rFonts w:hint="eastAsia"/>
          <w:b/>
          <w:bCs/>
          <w:sz w:val="32"/>
          <w:szCs w:val="32"/>
        </w:rPr>
        <w:t>单位预算项目支出绩效目标表</w:t>
      </w:r>
    </w:p>
    <w:p>
      <w:pPr>
        <w:ind w:firstLine="560" w:firstLineChars="200"/>
        <w:rPr>
          <w:sz w:val="28"/>
          <w:szCs w:val="28"/>
        </w:rPr>
      </w:pPr>
      <w:r>
        <w:rPr>
          <w:rFonts w:hint="eastAsia"/>
          <w:sz w:val="28"/>
          <w:szCs w:val="28"/>
        </w:rPr>
        <w:t>特殊教育补助</w:t>
      </w:r>
    </w:p>
    <w:p>
      <w:pPr>
        <w:ind w:firstLine="560" w:firstLineChars="200"/>
        <w:rPr>
          <w:sz w:val="28"/>
          <w:szCs w:val="28"/>
        </w:rPr>
      </w:pPr>
      <w:r>
        <w:rPr>
          <w:rFonts w:hint="eastAsia"/>
          <w:sz w:val="28"/>
          <w:szCs w:val="28"/>
        </w:rPr>
        <w:t>校园政治思想宣传工作经费</w:t>
      </w:r>
    </w:p>
    <w:p>
      <w:pPr>
        <w:ind w:firstLine="560" w:firstLineChars="200"/>
        <w:rPr>
          <w:sz w:val="28"/>
          <w:szCs w:val="28"/>
        </w:rPr>
      </w:pPr>
      <w:r>
        <w:rPr>
          <w:rFonts w:hint="eastAsia"/>
          <w:sz w:val="28"/>
          <w:szCs w:val="28"/>
        </w:rPr>
        <w:t>教育科技创新专项</w:t>
      </w:r>
    </w:p>
    <w:p>
      <w:pPr>
        <w:ind w:firstLine="560" w:firstLineChars="200"/>
        <w:rPr>
          <w:sz w:val="28"/>
          <w:szCs w:val="28"/>
        </w:rPr>
      </w:pPr>
      <w:r>
        <w:rPr>
          <w:rFonts w:hint="eastAsia"/>
          <w:sz w:val="28"/>
          <w:szCs w:val="28"/>
        </w:rPr>
        <w:t>学校德智体美劳发展经费</w:t>
      </w:r>
    </w:p>
    <w:p>
      <w:pPr>
        <w:widowControl/>
        <w:jc w:val="left"/>
        <w:rPr>
          <w:rFonts w:ascii="黑体" w:eastAsia="黑体"/>
          <w:sz w:val="30"/>
          <w:szCs w:val="30"/>
        </w:rPr>
        <w:sectPr>
          <w:pgSz w:w="16838" w:h="11906" w:orient="landscape"/>
          <w:pgMar w:top="1134" w:right="1134" w:bottom="1134" w:left="1134" w:header="851" w:footer="992" w:gutter="0"/>
          <w:cols w:space="425" w:num="1"/>
          <w:docGrid w:type="lines" w:linePitch="312" w:charSpace="0"/>
        </w:sectPr>
      </w:pPr>
    </w:p>
    <w:p>
      <w:pPr>
        <w:widowControl/>
        <w:jc w:val="left"/>
        <w:rPr>
          <w:rFonts w:ascii="黑体" w:eastAsia="黑体"/>
          <w:sz w:val="30"/>
          <w:szCs w:val="30"/>
        </w:rPr>
      </w:pPr>
    </w:p>
    <w:p>
      <w:pPr>
        <w:spacing w:line="560" w:lineRule="exact"/>
        <w:jc w:val="center"/>
        <w:rPr>
          <w:rFonts w:ascii="仿宋" w:eastAsia="仿宋"/>
          <w:b/>
          <w:sz w:val="28"/>
          <w:szCs w:val="28"/>
        </w:rPr>
      </w:pPr>
      <w:r>
        <w:rPr>
          <w:rFonts w:hint="eastAsia" w:ascii="仿宋" w:eastAsia="仿宋"/>
          <w:b/>
          <w:sz w:val="28"/>
          <w:szCs w:val="28"/>
        </w:rPr>
        <w:t>单位整体支出绩效目标表</w:t>
      </w:r>
    </w:p>
    <w:p>
      <w:pPr>
        <w:spacing w:line="560" w:lineRule="exact"/>
        <w:jc w:val="center"/>
        <w:rPr>
          <w:rFonts w:ascii="仿宋" w:eastAsia="仿宋"/>
          <w:b/>
          <w:sz w:val="24"/>
          <w:szCs w:val="24"/>
        </w:rPr>
      </w:pPr>
      <w:r>
        <w:rPr>
          <w:rFonts w:hint="eastAsia" w:ascii="仿宋" w:eastAsia="仿宋"/>
          <w:b/>
          <w:sz w:val="24"/>
          <w:szCs w:val="24"/>
        </w:rPr>
        <w:t>（2024年度）</w:t>
      </w:r>
    </w:p>
    <w:tbl>
      <w:tblPr>
        <w:tblStyle w:val="8"/>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99"/>
        <w:gridCol w:w="702"/>
        <w:gridCol w:w="709"/>
        <w:gridCol w:w="1587"/>
        <w:gridCol w:w="1956"/>
        <w:gridCol w:w="43"/>
        <w:gridCol w:w="199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shd w:val="clear" w:color="auto" w:fill="auto"/>
            <w:vAlign w:val="center"/>
          </w:tcPr>
          <w:p>
            <w:pPr>
              <w:jc w:val="center"/>
              <w:rPr>
                <w:b/>
                <w:sz w:val="18"/>
                <w:szCs w:val="18"/>
              </w:rPr>
            </w:pPr>
            <w:r>
              <w:rPr>
                <w:rFonts w:hint="eastAsia"/>
                <w:b/>
                <w:sz w:val="18"/>
                <w:szCs w:val="18"/>
              </w:rPr>
              <w:t>单位名称</w:t>
            </w:r>
          </w:p>
        </w:tc>
        <w:tc>
          <w:tcPr>
            <w:tcW w:w="7995" w:type="dxa"/>
            <w:gridSpan w:val="7"/>
            <w:shd w:val="clear" w:color="auto" w:fill="auto"/>
            <w:vAlign w:val="center"/>
          </w:tcPr>
          <w:p>
            <w:pPr>
              <w:jc w:val="left"/>
              <w:rPr>
                <w:sz w:val="18"/>
                <w:szCs w:val="18"/>
              </w:rPr>
            </w:pPr>
            <w:r>
              <w:rPr>
                <w:rFonts w:hint="eastAsia"/>
                <w:sz w:val="18"/>
                <w:szCs w:val="18"/>
              </w:rPr>
              <w:t>甘肃省教育科学研究院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shd w:val="clear" w:color="auto" w:fill="auto"/>
            <w:vAlign w:val="center"/>
          </w:tcPr>
          <w:p>
            <w:pPr>
              <w:jc w:val="center"/>
              <w:rPr>
                <w:b/>
                <w:sz w:val="18"/>
                <w:szCs w:val="18"/>
              </w:rPr>
            </w:pPr>
            <w:r>
              <w:rPr>
                <w:rFonts w:hint="eastAsia"/>
                <w:b/>
                <w:sz w:val="18"/>
                <w:szCs w:val="18"/>
              </w:rPr>
              <w:t>总体目标</w:t>
            </w:r>
          </w:p>
        </w:tc>
        <w:tc>
          <w:tcPr>
            <w:tcW w:w="7995" w:type="dxa"/>
            <w:gridSpan w:val="7"/>
            <w:shd w:val="clear" w:color="auto" w:fill="auto"/>
            <w:vAlign w:val="center"/>
          </w:tcPr>
          <w:p>
            <w:pPr>
              <w:jc w:val="left"/>
              <w:rPr>
                <w:sz w:val="18"/>
                <w:szCs w:val="18"/>
              </w:rPr>
            </w:pPr>
            <w:r>
              <w:rPr>
                <w:rFonts w:hint="eastAsia"/>
                <w:color w:val="000000"/>
                <w:sz w:val="18"/>
                <w:szCs w:val="18"/>
              </w:rPr>
              <w:t>1.积极服务教育决策2.大力繁荣教育科研3.深化教学改革研究4.促进教师专业发展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526" w:type="dxa"/>
            <w:vMerge w:val="restart"/>
            <w:shd w:val="clear" w:color="auto" w:fill="auto"/>
            <w:vAlign w:val="center"/>
          </w:tcPr>
          <w:p>
            <w:pPr>
              <w:jc w:val="center"/>
              <w:rPr>
                <w:b/>
                <w:sz w:val="18"/>
                <w:szCs w:val="18"/>
              </w:rPr>
            </w:pPr>
            <w:r>
              <w:rPr>
                <w:rFonts w:hint="eastAsia"/>
                <w:b/>
                <w:sz w:val="18"/>
                <w:szCs w:val="18"/>
              </w:rPr>
              <w:t>预算情况（万元）</w:t>
            </w:r>
          </w:p>
        </w:tc>
        <w:tc>
          <w:tcPr>
            <w:tcW w:w="2410" w:type="dxa"/>
            <w:gridSpan w:val="3"/>
            <w:shd w:val="clear" w:color="auto" w:fill="auto"/>
            <w:vAlign w:val="center"/>
          </w:tcPr>
          <w:p>
            <w:pPr>
              <w:jc w:val="center"/>
              <w:rPr>
                <w:b/>
                <w:sz w:val="18"/>
                <w:szCs w:val="18"/>
              </w:rPr>
            </w:pPr>
            <w:r>
              <w:rPr>
                <w:rFonts w:hint="eastAsia"/>
                <w:b/>
                <w:sz w:val="18"/>
                <w:szCs w:val="18"/>
              </w:rPr>
              <w:t>按支出类型分</w:t>
            </w:r>
          </w:p>
        </w:tc>
        <w:tc>
          <w:tcPr>
            <w:tcW w:w="1587" w:type="dxa"/>
            <w:shd w:val="clear" w:color="auto" w:fill="auto"/>
            <w:vAlign w:val="center"/>
          </w:tcPr>
          <w:p>
            <w:pPr>
              <w:jc w:val="center"/>
              <w:rPr>
                <w:b/>
                <w:sz w:val="18"/>
                <w:szCs w:val="18"/>
              </w:rPr>
            </w:pPr>
            <w:r>
              <w:rPr>
                <w:rFonts w:hint="eastAsia"/>
                <w:b/>
                <w:sz w:val="18"/>
                <w:szCs w:val="18"/>
              </w:rPr>
              <w:t>预算金额</w:t>
            </w:r>
          </w:p>
        </w:tc>
        <w:tc>
          <w:tcPr>
            <w:tcW w:w="1999" w:type="dxa"/>
            <w:gridSpan w:val="2"/>
            <w:shd w:val="clear" w:color="auto" w:fill="auto"/>
            <w:vAlign w:val="center"/>
          </w:tcPr>
          <w:p>
            <w:pPr>
              <w:jc w:val="center"/>
              <w:rPr>
                <w:b/>
                <w:sz w:val="18"/>
                <w:szCs w:val="18"/>
              </w:rPr>
            </w:pPr>
            <w:r>
              <w:rPr>
                <w:rFonts w:hint="eastAsia"/>
                <w:b/>
                <w:sz w:val="18"/>
                <w:szCs w:val="18"/>
              </w:rPr>
              <w:t>按来源类型分</w:t>
            </w:r>
          </w:p>
        </w:tc>
        <w:tc>
          <w:tcPr>
            <w:tcW w:w="1999" w:type="dxa"/>
            <w:shd w:val="clear" w:color="auto" w:fill="auto"/>
            <w:vAlign w:val="center"/>
          </w:tcPr>
          <w:p>
            <w:pPr>
              <w:jc w:val="center"/>
              <w:rPr>
                <w:b/>
                <w:sz w:val="18"/>
                <w:szCs w:val="18"/>
              </w:rPr>
            </w:pPr>
            <w:r>
              <w:rPr>
                <w:rFonts w:hint="eastAsia"/>
                <w:b/>
                <w:sz w:val="18"/>
                <w:szCs w:val="18"/>
              </w:rPr>
              <w:t>预算金额</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526" w:type="dxa"/>
            <w:vMerge w:val="continue"/>
            <w:shd w:val="clear" w:color="auto" w:fill="auto"/>
            <w:vAlign w:val="center"/>
          </w:tcPr>
          <w:p>
            <w:pPr>
              <w:jc w:val="center"/>
              <w:rPr>
                <w:b/>
                <w:sz w:val="18"/>
                <w:szCs w:val="18"/>
              </w:rPr>
            </w:pPr>
          </w:p>
        </w:tc>
        <w:tc>
          <w:tcPr>
            <w:tcW w:w="999" w:type="dxa"/>
            <w:vMerge w:val="restart"/>
            <w:shd w:val="clear" w:color="auto" w:fill="auto"/>
            <w:vAlign w:val="center"/>
          </w:tcPr>
          <w:p>
            <w:pPr>
              <w:jc w:val="center"/>
              <w:rPr>
                <w:b/>
                <w:sz w:val="18"/>
                <w:szCs w:val="18"/>
              </w:rPr>
            </w:pPr>
            <w:r>
              <w:rPr>
                <w:rFonts w:hint="eastAsia"/>
                <w:b/>
                <w:sz w:val="18"/>
                <w:szCs w:val="18"/>
              </w:rPr>
              <w:t>基本支出</w:t>
            </w:r>
          </w:p>
        </w:tc>
        <w:tc>
          <w:tcPr>
            <w:tcW w:w="1411" w:type="dxa"/>
            <w:gridSpan w:val="2"/>
            <w:shd w:val="clear" w:color="auto" w:fill="auto"/>
            <w:vAlign w:val="center"/>
          </w:tcPr>
          <w:p>
            <w:pPr>
              <w:jc w:val="center"/>
              <w:rPr>
                <w:b/>
                <w:sz w:val="18"/>
                <w:szCs w:val="18"/>
              </w:rPr>
            </w:pPr>
            <w:r>
              <w:rPr>
                <w:rFonts w:hint="eastAsia"/>
                <w:b/>
                <w:sz w:val="18"/>
                <w:szCs w:val="18"/>
              </w:rPr>
              <w:t>人员经费</w:t>
            </w:r>
          </w:p>
        </w:tc>
        <w:tc>
          <w:tcPr>
            <w:tcW w:w="1587" w:type="dxa"/>
            <w:shd w:val="clear" w:color="auto" w:fill="auto"/>
            <w:vAlign w:val="center"/>
          </w:tcPr>
          <w:p>
            <w:pPr>
              <w:jc w:val="center"/>
              <w:rPr>
                <w:sz w:val="18"/>
                <w:szCs w:val="18"/>
              </w:rPr>
            </w:pPr>
            <w:r>
              <w:rPr>
                <w:rFonts w:hint="eastAsia"/>
                <w:sz w:val="18"/>
                <w:szCs w:val="18"/>
              </w:rPr>
              <w:t>1,416.11</w:t>
            </w:r>
          </w:p>
        </w:tc>
        <w:tc>
          <w:tcPr>
            <w:tcW w:w="1999" w:type="dxa"/>
            <w:gridSpan w:val="2"/>
            <w:shd w:val="clear" w:color="auto" w:fill="auto"/>
            <w:vAlign w:val="center"/>
          </w:tcPr>
          <w:p>
            <w:pPr>
              <w:jc w:val="center"/>
              <w:rPr>
                <w:b/>
                <w:sz w:val="18"/>
                <w:szCs w:val="18"/>
              </w:rPr>
            </w:pPr>
            <w:r>
              <w:rPr>
                <w:rFonts w:hint="eastAsia"/>
                <w:b/>
                <w:sz w:val="18"/>
                <w:szCs w:val="18"/>
              </w:rPr>
              <w:t>当年财政拨款</w:t>
            </w:r>
          </w:p>
        </w:tc>
        <w:tc>
          <w:tcPr>
            <w:tcW w:w="1999" w:type="dxa"/>
            <w:shd w:val="clear" w:color="auto" w:fill="auto"/>
            <w:vAlign w:val="center"/>
          </w:tcPr>
          <w:p>
            <w:pPr>
              <w:jc w:val="center"/>
              <w:rPr>
                <w:sz w:val="18"/>
                <w:szCs w:val="18"/>
              </w:rPr>
            </w:pPr>
            <w:r>
              <w:rPr>
                <w:rFonts w:hint="eastAsia"/>
                <w:sz w:val="18"/>
                <w:szCs w:val="18"/>
              </w:rPr>
              <w:t>1,106.49</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526" w:type="dxa"/>
            <w:vMerge w:val="continue"/>
            <w:shd w:val="clear" w:color="auto" w:fill="auto"/>
            <w:vAlign w:val="center"/>
          </w:tcPr>
          <w:p>
            <w:pPr>
              <w:jc w:val="center"/>
              <w:rPr>
                <w:b/>
                <w:sz w:val="18"/>
                <w:szCs w:val="18"/>
              </w:rPr>
            </w:pPr>
          </w:p>
        </w:tc>
        <w:tc>
          <w:tcPr>
            <w:tcW w:w="999" w:type="dxa"/>
            <w:vMerge w:val="continue"/>
            <w:shd w:val="clear" w:color="auto" w:fill="auto"/>
            <w:vAlign w:val="center"/>
          </w:tcPr>
          <w:p>
            <w:pPr>
              <w:jc w:val="center"/>
              <w:rPr>
                <w:b/>
                <w:sz w:val="18"/>
                <w:szCs w:val="18"/>
              </w:rPr>
            </w:pPr>
          </w:p>
        </w:tc>
        <w:tc>
          <w:tcPr>
            <w:tcW w:w="1411" w:type="dxa"/>
            <w:gridSpan w:val="2"/>
            <w:shd w:val="clear" w:color="auto" w:fill="auto"/>
            <w:vAlign w:val="center"/>
          </w:tcPr>
          <w:p>
            <w:pPr>
              <w:jc w:val="center"/>
              <w:rPr>
                <w:b/>
                <w:sz w:val="18"/>
                <w:szCs w:val="18"/>
              </w:rPr>
            </w:pPr>
            <w:r>
              <w:rPr>
                <w:rFonts w:hint="eastAsia"/>
                <w:b/>
                <w:sz w:val="18"/>
                <w:szCs w:val="18"/>
              </w:rPr>
              <w:t>公用经费</w:t>
            </w:r>
          </w:p>
        </w:tc>
        <w:tc>
          <w:tcPr>
            <w:tcW w:w="1587" w:type="dxa"/>
            <w:shd w:val="clear" w:color="auto" w:fill="auto"/>
            <w:vAlign w:val="center"/>
          </w:tcPr>
          <w:p>
            <w:pPr>
              <w:jc w:val="center"/>
              <w:rPr>
                <w:sz w:val="18"/>
                <w:szCs w:val="18"/>
              </w:rPr>
            </w:pPr>
            <w:r>
              <w:rPr>
                <w:rFonts w:hint="eastAsia"/>
                <w:sz w:val="18"/>
                <w:szCs w:val="18"/>
              </w:rPr>
              <w:t>750.38</w:t>
            </w:r>
          </w:p>
        </w:tc>
        <w:tc>
          <w:tcPr>
            <w:tcW w:w="1999" w:type="dxa"/>
            <w:gridSpan w:val="2"/>
            <w:shd w:val="clear" w:color="auto" w:fill="auto"/>
            <w:vAlign w:val="center"/>
          </w:tcPr>
          <w:p>
            <w:pPr>
              <w:jc w:val="center"/>
              <w:rPr>
                <w:b/>
                <w:sz w:val="18"/>
                <w:szCs w:val="18"/>
              </w:rPr>
            </w:pPr>
            <w:r>
              <w:rPr>
                <w:rFonts w:hint="eastAsia"/>
                <w:b/>
                <w:sz w:val="18"/>
                <w:szCs w:val="18"/>
              </w:rPr>
              <w:t>上年结转结余</w:t>
            </w:r>
          </w:p>
        </w:tc>
        <w:tc>
          <w:tcPr>
            <w:tcW w:w="1999" w:type="dxa"/>
            <w:shd w:val="clear" w:color="auto" w:fill="auto"/>
            <w:vAlign w:val="center"/>
          </w:tcPr>
          <w:p>
            <w:pPr>
              <w:jc w:val="center"/>
              <w:rPr>
                <w:sz w:val="18"/>
                <w:szCs w:val="18"/>
              </w:rPr>
            </w:pPr>
            <w:r>
              <w:rPr>
                <w:rFonts w:hint="eastAsia"/>
                <w:sz w:val="18"/>
                <w:szCs w:val="18"/>
              </w:rPr>
              <w:t>423.75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526" w:type="dxa"/>
            <w:vMerge w:val="continue"/>
            <w:shd w:val="clear" w:color="auto" w:fill="auto"/>
            <w:vAlign w:val="center"/>
          </w:tcPr>
          <w:p>
            <w:pPr>
              <w:jc w:val="center"/>
              <w:rPr>
                <w:b/>
                <w:sz w:val="18"/>
                <w:szCs w:val="18"/>
              </w:rPr>
            </w:pPr>
          </w:p>
        </w:tc>
        <w:tc>
          <w:tcPr>
            <w:tcW w:w="999" w:type="dxa"/>
            <w:vMerge w:val="continue"/>
            <w:shd w:val="clear" w:color="auto" w:fill="auto"/>
            <w:vAlign w:val="center"/>
          </w:tcPr>
          <w:p>
            <w:pPr>
              <w:jc w:val="center"/>
              <w:rPr>
                <w:b/>
                <w:sz w:val="18"/>
                <w:szCs w:val="18"/>
              </w:rPr>
            </w:pPr>
          </w:p>
        </w:tc>
        <w:tc>
          <w:tcPr>
            <w:tcW w:w="1411" w:type="dxa"/>
            <w:gridSpan w:val="2"/>
            <w:shd w:val="clear" w:color="auto" w:fill="auto"/>
            <w:vAlign w:val="center"/>
          </w:tcPr>
          <w:p>
            <w:pPr>
              <w:jc w:val="center"/>
              <w:rPr>
                <w:b/>
                <w:sz w:val="18"/>
                <w:szCs w:val="18"/>
              </w:rPr>
            </w:pPr>
            <w:r>
              <w:rPr>
                <w:rFonts w:hint="eastAsia"/>
                <w:b/>
                <w:sz w:val="18"/>
                <w:szCs w:val="18"/>
              </w:rPr>
              <w:t>合计</w:t>
            </w:r>
          </w:p>
        </w:tc>
        <w:tc>
          <w:tcPr>
            <w:tcW w:w="1587" w:type="dxa"/>
            <w:shd w:val="clear" w:color="auto" w:fill="auto"/>
            <w:vAlign w:val="center"/>
          </w:tcPr>
          <w:p>
            <w:pPr>
              <w:jc w:val="center"/>
              <w:rPr>
                <w:sz w:val="18"/>
                <w:szCs w:val="18"/>
              </w:rPr>
            </w:pPr>
            <w:r>
              <w:rPr>
                <w:rFonts w:hint="eastAsia"/>
                <w:sz w:val="18"/>
                <w:szCs w:val="18"/>
              </w:rPr>
              <w:t>2,166.49</w:t>
            </w:r>
          </w:p>
        </w:tc>
        <w:tc>
          <w:tcPr>
            <w:tcW w:w="1999" w:type="dxa"/>
            <w:gridSpan w:val="2"/>
            <w:shd w:val="clear" w:color="auto" w:fill="auto"/>
            <w:vAlign w:val="center"/>
          </w:tcPr>
          <w:p>
            <w:pPr>
              <w:jc w:val="center"/>
              <w:rPr>
                <w:b/>
                <w:sz w:val="18"/>
                <w:szCs w:val="18"/>
              </w:rPr>
            </w:pPr>
            <w:r>
              <w:rPr>
                <w:rFonts w:hint="eastAsia"/>
                <w:b/>
                <w:sz w:val="18"/>
                <w:szCs w:val="18"/>
              </w:rPr>
              <w:t>其他资金</w:t>
            </w:r>
          </w:p>
        </w:tc>
        <w:tc>
          <w:tcPr>
            <w:tcW w:w="1999" w:type="dxa"/>
            <w:shd w:val="clear" w:color="auto" w:fill="auto"/>
            <w:vAlign w:val="center"/>
          </w:tcPr>
          <w:p>
            <w:pPr>
              <w:jc w:val="center"/>
              <w:rPr>
                <w:sz w:val="18"/>
                <w:szCs w:val="18"/>
              </w:rPr>
            </w:pPr>
            <w:r>
              <w:rPr>
                <w:rFonts w:hint="eastAsia"/>
                <w:sz w:val="18"/>
                <w:szCs w:val="18"/>
              </w:rPr>
              <w:t>1,450.00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526" w:type="dxa"/>
            <w:vMerge w:val="continue"/>
            <w:shd w:val="clear" w:color="auto" w:fill="auto"/>
            <w:vAlign w:val="center"/>
          </w:tcPr>
          <w:p>
            <w:pPr>
              <w:jc w:val="center"/>
              <w:rPr>
                <w:b/>
                <w:sz w:val="18"/>
                <w:szCs w:val="18"/>
              </w:rPr>
            </w:pPr>
          </w:p>
        </w:tc>
        <w:tc>
          <w:tcPr>
            <w:tcW w:w="2410" w:type="dxa"/>
            <w:gridSpan w:val="3"/>
            <w:vMerge w:val="restart"/>
            <w:shd w:val="clear" w:color="auto" w:fill="auto"/>
            <w:vAlign w:val="center"/>
          </w:tcPr>
          <w:p>
            <w:pPr>
              <w:jc w:val="center"/>
              <w:rPr>
                <w:b/>
                <w:sz w:val="18"/>
                <w:szCs w:val="18"/>
              </w:rPr>
            </w:pPr>
            <w:r>
              <w:rPr>
                <w:rFonts w:hint="eastAsia"/>
                <w:b/>
                <w:sz w:val="18"/>
                <w:szCs w:val="18"/>
              </w:rPr>
              <w:t>项目支出</w:t>
            </w:r>
          </w:p>
        </w:tc>
        <w:tc>
          <w:tcPr>
            <w:tcW w:w="1587" w:type="dxa"/>
            <w:vMerge w:val="restart"/>
            <w:shd w:val="clear" w:color="auto" w:fill="auto"/>
            <w:vAlign w:val="center"/>
          </w:tcPr>
          <w:p>
            <w:pPr>
              <w:jc w:val="center"/>
              <w:rPr>
                <w:sz w:val="18"/>
                <w:szCs w:val="18"/>
              </w:rPr>
            </w:pPr>
            <w:r>
              <w:rPr>
                <w:rFonts w:hint="eastAsia"/>
                <w:sz w:val="18"/>
                <w:szCs w:val="18"/>
              </w:rPr>
              <w:t>813.75</w:t>
            </w:r>
          </w:p>
        </w:tc>
        <w:tc>
          <w:tcPr>
            <w:tcW w:w="1999" w:type="dxa"/>
            <w:gridSpan w:val="2"/>
            <w:shd w:val="clear" w:color="auto" w:fill="auto"/>
            <w:vAlign w:val="center"/>
          </w:tcPr>
          <w:p>
            <w:pPr>
              <w:jc w:val="center"/>
              <w:rPr>
                <w:b/>
                <w:sz w:val="18"/>
                <w:szCs w:val="18"/>
              </w:rPr>
            </w:pPr>
            <w:r>
              <w:rPr>
                <w:rFonts w:hint="eastAsia"/>
                <w:b/>
                <w:sz w:val="18"/>
                <w:szCs w:val="18"/>
              </w:rPr>
              <w:t>收入预算合计</w:t>
            </w:r>
          </w:p>
        </w:tc>
        <w:tc>
          <w:tcPr>
            <w:tcW w:w="1999" w:type="dxa"/>
            <w:shd w:val="clear" w:color="auto" w:fill="auto"/>
            <w:vAlign w:val="center"/>
          </w:tcPr>
          <w:p>
            <w:pPr>
              <w:jc w:val="center"/>
              <w:rPr>
                <w:sz w:val="18"/>
                <w:szCs w:val="18"/>
              </w:rPr>
            </w:pPr>
            <w:r>
              <w:rPr>
                <w:rFonts w:hint="eastAsia"/>
                <w:sz w:val="18"/>
                <w:szCs w:val="18"/>
              </w:rPr>
              <w:t>2,980.24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1526" w:type="dxa"/>
            <w:vMerge w:val="continue"/>
            <w:shd w:val="clear" w:color="auto" w:fill="auto"/>
            <w:vAlign w:val="center"/>
          </w:tcPr>
          <w:p>
            <w:pPr>
              <w:jc w:val="center"/>
              <w:rPr>
                <w:b/>
                <w:sz w:val="18"/>
                <w:szCs w:val="18"/>
              </w:rPr>
            </w:pPr>
          </w:p>
        </w:tc>
        <w:tc>
          <w:tcPr>
            <w:tcW w:w="2410" w:type="dxa"/>
            <w:gridSpan w:val="3"/>
            <w:vMerge w:val="continue"/>
            <w:shd w:val="clear" w:color="auto" w:fill="auto"/>
            <w:vAlign w:val="center"/>
          </w:tcPr>
          <w:p>
            <w:pPr>
              <w:jc w:val="center"/>
              <w:rPr>
                <w:b/>
                <w:sz w:val="18"/>
                <w:szCs w:val="18"/>
              </w:rPr>
            </w:pPr>
          </w:p>
        </w:tc>
        <w:tc>
          <w:tcPr>
            <w:tcW w:w="1587" w:type="dxa"/>
            <w:vMerge w:val="continue"/>
            <w:shd w:val="clear" w:color="auto" w:fill="auto"/>
            <w:vAlign w:val="center"/>
          </w:tcPr>
          <w:p>
            <w:pPr>
              <w:jc w:val="center"/>
              <w:rPr>
                <w:sz w:val="18"/>
                <w:szCs w:val="18"/>
              </w:rPr>
            </w:pPr>
          </w:p>
        </w:tc>
        <w:tc>
          <w:tcPr>
            <w:tcW w:w="1999" w:type="dxa"/>
            <w:gridSpan w:val="2"/>
            <w:shd w:val="clear" w:color="auto" w:fill="auto"/>
            <w:vAlign w:val="center"/>
          </w:tcPr>
          <w:p>
            <w:pPr>
              <w:jc w:val="center"/>
              <w:rPr>
                <w:b/>
                <w:sz w:val="18"/>
                <w:szCs w:val="18"/>
              </w:rPr>
            </w:pPr>
            <w:r>
              <w:rPr>
                <w:rFonts w:hint="eastAsia"/>
                <w:b/>
                <w:sz w:val="18"/>
                <w:szCs w:val="18"/>
              </w:rPr>
              <w:t>支出预算合计</w:t>
            </w:r>
          </w:p>
        </w:tc>
        <w:tc>
          <w:tcPr>
            <w:tcW w:w="1999" w:type="dxa"/>
            <w:shd w:val="clear" w:color="auto" w:fill="auto"/>
            <w:vAlign w:val="center"/>
          </w:tcPr>
          <w:p>
            <w:pPr>
              <w:jc w:val="center"/>
              <w:rPr>
                <w:sz w:val="18"/>
                <w:szCs w:val="18"/>
              </w:rPr>
            </w:pPr>
            <w:r>
              <w:rPr>
                <w:rFonts w:hint="eastAsia"/>
                <w:sz w:val="18"/>
                <w:szCs w:val="18"/>
              </w:rPr>
              <w:t>2,980.24</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shd w:val="clear" w:color="auto" w:fill="auto"/>
            <w:vAlign w:val="center"/>
          </w:tcPr>
          <w:p>
            <w:pPr>
              <w:jc w:val="center"/>
              <w:rPr>
                <w:b/>
                <w:sz w:val="18"/>
                <w:szCs w:val="18"/>
              </w:rPr>
            </w:pPr>
            <w:r>
              <w:rPr>
                <w:rFonts w:hint="eastAsia"/>
                <w:b/>
                <w:sz w:val="18"/>
                <w:szCs w:val="18"/>
              </w:rPr>
              <w:t>一级指标</w:t>
            </w:r>
          </w:p>
        </w:tc>
        <w:tc>
          <w:tcPr>
            <w:tcW w:w="1701" w:type="dxa"/>
            <w:gridSpan w:val="2"/>
            <w:shd w:val="clear" w:color="auto" w:fill="auto"/>
            <w:vAlign w:val="center"/>
          </w:tcPr>
          <w:p>
            <w:pPr>
              <w:jc w:val="center"/>
              <w:rPr>
                <w:b/>
                <w:sz w:val="18"/>
                <w:szCs w:val="18"/>
              </w:rPr>
            </w:pPr>
            <w:r>
              <w:rPr>
                <w:rFonts w:hint="eastAsia"/>
                <w:b/>
                <w:sz w:val="18"/>
                <w:szCs w:val="18"/>
              </w:rPr>
              <w:t>二级指标</w:t>
            </w:r>
          </w:p>
        </w:tc>
        <w:tc>
          <w:tcPr>
            <w:tcW w:w="4252" w:type="dxa"/>
            <w:gridSpan w:val="3"/>
            <w:shd w:val="clear" w:color="auto" w:fill="auto"/>
            <w:vAlign w:val="center"/>
          </w:tcPr>
          <w:p>
            <w:pPr>
              <w:jc w:val="center"/>
              <w:rPr>
                <w:b/>
                <w:sz w:val="18"/>
                <w:szCs w:val="18"/>
              </w:rPr>
            </w:pPr>
            <w:r>
              <w:rPr>
                <w:rFonts w:hint="eastAsia"/>
                <w:b/>
                <w:sz w:val="18"/>
                <w:szCs w:val="18"/>
              </w:rPr>
              <w:t>三级指标</w:t>
            </w:r>
          </w:p>
        </w:tc>
        <w:tc>
          <w:tcPr>
            <w:tcW w:w="2042" w:type="dxa"/>
            <w:gridSpan w:val="2"/>
            <w:shd w:val="clear" w:color="auto" w:fill="auto"/>
            <w:vAlign w:val="center"/>
          </w:tcPr>
          <w:p>
            <w:pPr>
              <w:jc w:val="center"/>
              <w:rPr>
                <w:b/>
                <w:sz w:val="18"/>
                <w:szCs w:val="18"/>
              </w:rPr>
            </w:pPr>
            <w:r>
              <w:rPr>
                <w:rFonts w:hint="eastAsia"/>
                <w:b/>
                <w:sz w:val="18"/>
                <w:szCs w:val="18"/>
              </w:rPr>
              <w:t>指标值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restart"/>
            <w:shd w:val="clear" w:color="auto" w:fill="auto"/>
            <w:vAlign w:val="center"/>
          </w:tcPr>
          <w:p>
            <w:pPr>
              <w:jc w:val="center"/>
              <w:rPr>
                <w:sz w:val="18"/>
                <w:szCs w:val="18"/>
              </w:rPr>
            </w:pPr>
            <w:r>
              <w:rPr>
                <w:rFonts w:hint="eastAsia"/>
                <w:sz w:val="18"/>
                <w:szCs w:val="18"/>
              </w:rPr>
              <w:t>部门管理</w:t>
            </w:r>
          </w:p>
        </w:tc>
        <w:tc>
          <w:tcPr>
            <w:tcW w:w="1701" w:type="dxa"/>
            <w:gridSpan w:val="2"/>
            <w:vMerge w:val="restart"/>
            <w:shd w:val="clear" w:color="auto" w:fill="auto"/>
            <w:vAlign w:val="center"/>
          </w:tcPr>
          <w:p>
            <w:pPr>
              <w:jc w:val="center"/>
              <w:rPr>
                <w:sz w:val="18"/>
                <w:szCs w:val="18"/>
              </w:rPr>
            </w:pPr>
            <w:r>
              <w:rPr>
                <w:rFonts w:hint="eastAsia"/>
                <w:sz w:val="18"/>
                <w:szCs w:val="18"/>
              </w:rPr>
              <w:t>资金投入</w:t>
            </w:r>
          </w:p>
        </w:tc>
        <w:tc>
          <w:tcPr>
            <w:tcW w:w="4252" w:type="dxa"/>
            <w:gridSpan w:val="3"/>
            <w:shd w:val="clear" w:color="auto" w:fill="auto"/>
            <w:vAlign w:val="center"/>
          </w:tcPr>
          <w:p>
            <w:pPr>
              <w:jc w:val="left"/>
              <w:rPr>
                <w:sz w:val="18"/>
                <w:szCs w:val="18"/>
              </w:rPr>
            </w:pPr>
            <w:r>
              <w:rPr>
                <w:rFonts w:hint="eastAsia"/>
                <w:sz w:val="18"/>
                <w:szCs w:val="18"/>
              </w:rPr>
              <w:t>“三公经费”控制率</w:t>
            </w:r>
          </w:p>
        </w:tc>
        <w:tc>
          <w:tcPr>
            <w:tcW w:w="2042" w:type="dxa"/>
            <w:gridSpan w:val="2"/>
            <w:shd w:val="clear" w:color="auto" w:fill="auto"/>
            <w:vAlign w:val="center"/>
          </w:tcPr>
          <w:p>
            <w:pPr>
              <w:jc w:val="center"/>
              <w:rPr>
                <w:sz w:val="18"/>
                <w:szCs w:val="18"/>
              </w:rPr>
            </w:pPr>
            <w:r>
              <w:rPr>
                <w:rFonts w:hint="eastAsia"/>
                <w:sz w:val="18"/>
                <w:szCs w:val="18"/>
              </w:rPr>
              <w:t>≤80%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continue"/>
            <w:shd w:val="clear" w:color="auto" w:fill="auto"/>
            <w:vAlign w:val="center"/>
          </w:tcPr>
          <w:p>
            <w:pPr>
              <w:jc w:val="center"/>
              <w:rPr>
                <w:sz w:val="18"/>
                <w:szCs w:val="18"/>
              </w:rPr>
            </w:pPr>
          </w:p>
        </w:tc>
        <w:tc>
          <w:tcPr>
            <w:tcW w:w="4252" w:type="dxa"/>
            <w:gridSpan w:val="3"/>
            <w:shd w:val="clear" w:color="auto" w:fill="auto"/>
            <w:vAlign w:val="center"/>
          </w:tcPr>
          <w:p>
            <w:pPr>
              <w:jc w:val="left"/>
              <w:rPr>
                <w:sz w:val="18"/>
                <w:szCs w:val="18"/>
              </w:rPr>
            </w:pPr>
            <w:r>
              <w:rPr>
                <w:rFonts w:hint="eastAsia"/>
                <w:sz w:val="18"/>
                <w:szCs w:val="18"/>
              </w:rPr>
              <w:t>基本支出预算执行率</w:t>
            </w:r>
          </w:p>
        </w:tc>
        <w:tc>
          <w:tcPr>
            <w:tcW w:w="2042" w:type="dxa"/>
            <w:gridSpan w:val="2"/>
            <w:shd w:val="clear" w:color="auto" w:fill="auto"/>
            <w:vAlign w:val="center"/>
          </w:tcPr>
          <w:p>
            <w:pPr>
              <w:jc w:val="center"/>
              <w:rPr>
                <w:sz w:val="18"/>
                <w:szCs w:val="18"/>
              </w:rPr>
            </w:pPr>
            <w:r>
              <w:rPr>
                <w:rFonts w:hint="eastAsia"/>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continue"/>
            <w:shd w:val="clear" w:color="auto" w:fill="auto"/>
            <w:vAlign w:val="center"/>
          </w:tcPr>
          <w:p>
            <w:pPr>
              <w:jc w:val="center"/>
              <w:rPr>
                <w:sz w:val="18"/>
                <w:szCs w:val="18"/>
              </w:rPr>
            </w:pPr>
          </w:p>
        </w:tc>
        <w:tc>
          <w:tcPr>
            <w:tcW w:w="4252" w:type="dxa"/>
            <w:gridSpan w:val="3"/>
            <w:shd w:val="clear" w:color="auto" w:fill="auto"/>
            <w:vAlign w:val="center"/>
          </w:tcPr>
          <w:p>
            <w:pPr>
              <w:jc w:val="left"/>
              <w:rPr>
                <w:sz w:val="18"/>
                <w:szCs w:val="18"/>
              </w:rPr>
            </w:pPr>
            <w:r>
              <w:rPr>
                <w:rFonts w:hint="eastAsia"/>
                <w:sz w:val="18"/>
                <w:szCs w:val="18"/>
              </w:rPr>
              <w:t>结转结余变动率</w:t>
            </w:r>
          </w:p>
        </w:tc>
        <w:tc>
          <w:tcPr>
            <w:tcW w:w="2042" w:type="dxa"/>
            <w:gridSpan w:val="2"/>
            <w:shd w:val="clear" w:color="auto" w:fill="auto"/>
            <w:vAlign w:val="center"/>
          </w:tcPr>
          <w:p>
            <w:pPr>
              <w:jc w:val="center"/>
              <w:rPr>
                <w:sz w:val="18"/>
                <w:szCs w:val="18"/>
              </w:rPr>
            </w:pPr>
            <w:r>
              <w:rPr>
                <w:rFonts w:hint="eastAsia"/>
                <w:sz w:val="18"/>
                <w:szCs w:val="18"/>
              </w:rPr>
              <w:t>≤33%</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continue"/>
            <w:shd w:val="clear" w:color="auto" w:fill="auto"/>
            <w:vAlign w:val="center"/>
          </w:tcPr>
          <w:p>
            <w:pPr>
              <w:jc w:val="center"/>
              <w:rPr>
                <w:sz w:val="18"/>
                <w:szCs w:val="18"/>
              </w:rPr>
            </w:pPr>
          </w:p>
        </w:tc>
        <w:tc>
          <w:tcPr>
            <w:tcW w:w="4252" w:type="dxa"/>
            <w:gridSpan w:val="3"/>
            <w:shd w:val="clear" w:color="auto" w:fill="auto"/>
            <w:vAlign w:val="center"/>
          </w:tcPr>
          <w:p>
            <w:pPr>
              <w:jc w:val="left"/>
              <w:rPr>
                <w:sz w:val="18"/>
                <w:szCs w:val="18"/>
              </w:rPr>
            </w:pPr>
            <w:r>
              <w:rPr>
                <w:rFonts w:hint="eastAsia"/>
                <w:sz w:val="18"/>
                <w:szCs w:val="18"/>
              </w:rPr>
              <w:t>项目支出预算执行率</w:t>
            </w:r>
          </w:p>
        </w:tc>
        <w:tc>
          <w:tcPr>
            <w:tcW w:w="2042" w:type="dxa"/>
            <w:gridSpan w:val="2"/>
            <w:shd w:val="clear" w:color="auto" w:fill="auto"/>
            <w:vAlign w:val="center"/>
          </w:tcPr>
          <w:p>
            <w:pPr>
              <w:jc w:val="center"/>
              <w:rPr>
                <w:sz w:val="18"/>
                <w:szCs w:val="18"/>
              </w:rPr>
            </w:pPr>
            <w:r>
              <w:rPr>
                <w:rFonts w:hint="eastAsia"/>
                <w:sz w:val="18"/>
                <w:szCs w:val="18"/>
              </w:rPr>
              <w:t>=90%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restart"/>
            <w:shd w:val="clear" w:color="auto" w:fill="auto"/>
            <w:vAlign w:val="center"/>
          </w:tcPr>
          <w:p>
            <w:pPr>
              <w:jc w:val="center"/>
              <w:rPr>
                <w:sz w:val="18"/>
                <w:szCs w:val="18"/>
              </w:rPr>
            </w:pPr>
            <w:r>
              <w:rPr>
                <w:rFonts w:hint="eastAsia"/>
                <w:sz w:val="18"/>
                <w:szCs w:val="18"/>
              </w:rPr>
              <w:t>财务管理</w:t>
            </w:r>
          </w:p>
        </w:tc>
        <w:tc>
          <w:tcPr>
            <w:tcW w:w="4252" w:type="dxa"/>
            <w:gridSpan w:val="3"/>
            <w:shd w:val="clear" w:color="auto" w:fill="auto"/>
            <w:vAlign w:val="center"/>
          </w:tcPr>
          <w:p>
            <w:pPr>
              <w:jc w:val="left"/>
              <w:rPr>
                <w:sz w:val="18"/>
                <w:szCs w:val="18"/>
              </w:rPr>
            </w:pPr>
            <w:r>
              <w:rPr>
                <w:rFonts w:hint="eastAsia"/>
                <w:sz w:val="18"/>
                <w:szCs w:val="18"/>
              </w:rPr>
              <w:t>财务管理制度健全性</w:t>
            </w:r>
          </w:p>
        </w:tc>
        <w:tc>
          <w:tcPr>
            <w:tcW w:w="2042" w:type="dxa"/>
            <w:gridSpan w:val="2"/>
            <w:shd w:val="clear" w:color="auto" w:fill="auto"/>
            <w:vAlign w:val="center"/>
          </w:tcPr>
          <w:p>
            <w:pPr>
              <w:jc w:val="center"/>
              <w:rPr>
                <w:sz w:val="18"/>
                <w:szCs w:val="18"/>
              </w:rPr>
            </w:pPr>
            <w:r>
              <w:rPr>
                <w:rFonts w:hint="eastAsia"/>
                <w:sz w:val="18"/>
                <w:szCs w:val="18"/>
              </w:rPr>
              <w:t>健全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continue"/>
            <w:shd w:val="clear" w:color="auto" w:fill="auto"/>
            <w:vAlign w:val="center"/>
          </w:tcPr>
          <w:p>
            <w:pPr>
              <w:jc w:val="center"/>
              <w:rPr>
                <w:sz w:val="18"/>
                <w:szCs w:val="18"/>
              </w:rPr>
            </w:pPr>
          </w:p>
        </w:tc>
        <w:tc>
          <w:tcPr>
            <w:tcW w:w="4252" w:type="dxa"/>
            <w:gridSpan w:val="3"/>
            <w:shd w:val="clear" w:color="auto" w:fill="auto"/>
            <w:vAlign w:val="center"/>
          </w:tcPr>
          <w:p>
            <w:pPr>
              <w:jc w:val="left"/>
              <w:rPr>
                <w:sz w:val="18"/>
                <w:szCs w:val="18"/>
              </w:rPr>
            </w:pPr>
            <w:r>
              <w:rPr>
                <w:rFonts w:hint="eastAsia"/>
                <w:sz w:val="18"/>
                <w:szCs w:val="18"/>
              </w:rPr>
              <w:t>资金使用规范性</w:t>
            </w:r>
          </w:p>
        </w:tc>
        <w:tc>
          <w:tcPr>
            <w:tcW w:w="2042" w:type="dxa"/>
            <w:gridSpan w:val="2"/>
            <w:shd w:val="clear" w:color="auto" w:fill="auto"/>
            <w:vAlign w:val="center"/>
          </w:tcPr>
          <w:p>
            <w:pPr>
              <w:jc w:val="center"/>
              <w:rPr>
                <w:sz w:val="18"/>
                <w:szCs w:val="18"/>
              </w:rPr>
            </w:pPr>
            <w:r>
              <w:rPr>
                <w:rFonts w:hint="eastAsia"/>
                <w:sz w:val="18"/>
                <w:szCs w:val="18"/>
              </w:rPr>
              <w:t>规范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restart"/>
            <w:shd w:val="clear" w:color="auto" w:fill="auto"/>
            <w:vAlign w:val="center"/>
          </w:tcPr>
          <w:p>
            <w:pPr>
              <w:jc w:val="center"/>
              <w:rPr>
                <w:sz w:val="18"/>
                <w:szCs w:val="18"/>
              </w:rPr>
            </w:pPr>
            <w:r>
              <w:rPr>
                <w:rFonts w:hint="eastAsia"/>
                <w:sz w:val="18"/>
                <w:szCs w:val="18"/>
              </w:rPr>
              <w:t>采购管理</w:t>
            </w:r>
          </w:p>
        </w:tc>
        <w:tc>
          <w:tcPr>
            <w:tcW w:w="4252" w:type="dxa"/>
            <w:gridSpan w:val="3"/>
            <w:shd w:val="clear" w:color="auto" w:fill="auto"/>
            <w:vAlign w:val="center"/>
          </w:tcPr>
          <w:p>
            <w:pPr>
              <w:jc w:val="left"/>
              <w:rPr>
                <w:sz w:val="18"/>
                <w:szCs w:val="18"/>
              </w:rPr>
            </w:pPr>
            <w:r>
              <w:rPr>
                <w:rFonts w:hint="eastAsia"/>
                <w:sz w:val="18"/>
                <w:szCs w:val="18"/>
              </w:rPr>
              <w:t>政府采购规范性</w:t>
            </w:r>
          </w:p>
        </w:tc>
        <w:tc>
          <w:tcPr>
            <w:tcW w:w="2042" w:type="dxa"/>
            <w:gridSpan w:val="2"/>
            <w:shd w:val="clear" w:color="auto" w:fill="auto"/>
            <w:vAlign w:val="center"/>
          </w:tcPr>
          <w:p>
            <w:pPr>
              <w:jc w:val="center"/>
              <w:rPr>
                <w:sz w:val="18"/>
                <w:szCs w:val="18"/>
              </w:rPr>
            </w:pPr>
            <w:r>
              <w:rPr>
                <w:rFonts w:hint="eastAsia"/>
                <w:sz w:val="18"/>
                <w:szCs w:val="18"/>
              </w:rPr>
              <w:t>规范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restart"/>
            <w:shd w:val="clear" w:color="auto" w:fill="auto"/>
            <w:vAlign w:val="center"/>
          </w:tcPr>
          <w:p>
            <w:pPr>
              <w:jc w:val="center"/>
              <w:rPr>
                <w:sz w:val="18"/>
                <w:szCs w:val="18"/>
              </w:rPr>
            </w:pPr>
            <w:r>
              <w:rPr>
                <w:rFonts w:hint="eastAsia"/>
                <w:sz w:val="18"/>
                <w:szCs w:val="18"/>
              </w:rPr>
              <w:t>人员管理</w:t>
            </w:r>
          </w:p>
        </w:tc>
        <w:tc>
          <w:tcPr>
            <w:tcW w:w="4252" w:type="dxa"/>
            <w:gridSpan w:val="3"/>
            <w:shd w:val="clear" w:color="auto" w:fill="auto"/>
            <w:vAlign w:val="center"/>
          </w:tcPr>
          <w:p>
            <w:pPr>
              <w:jc w:val="left"/>
              <w:rPr>
                <w:sz w:val="18"/>
                <w:szCs w:val="18"/>
              </w:rPr>
            </w:pPr>
            <w:r>
              <w:rPr>
                <w:rFonts w:hint="eastAsia"/>
                <w:sz w:val="18"/>
                <w:szCs w:val="18"/>
              </w:rPr>
              <w:t>在职人员控制率</w:t>
            </w:r>
          </w:p>
        </w:tc>
        <w:tc>
          <w:tcPr>
            <w:tcW w:w="2042" w:type="dxa"/>
            <w:gridSpan w:val="2"/>
            <w:shd w:val="clear" w:color="auto" w:fill="auto"/>
            <w:vAlign w:val="center"/>
          </w:tcPr>
          <w:p>
            <w:pPr>
              <w:jc w:val="center"/>
              <w:rPr>
                <w:sz w:val="18"/>
                <w:szCs w:val="18"/>
              </w:rPr>
            </w:pPr>
            <w:r>
              <w:rPr>
                <w:rFonts w:hint="eastAsia"/>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restart"/>
            <w:shd w:val="clear" w:color="auto" w:fill="auto"/>
            <w:vAlign w:val="center"/>
          </w:tcPr>
          <w:p>
            <w:pPr>
              <w:jc w:val="center"/>
              <w:rPr>
                <w:sz w:val="18"/>
                <w:szCs w:val="18"/>
              </w:rPr>
            </w:pPr>
            <w:r>
              <w:rPr>
                <w:rFonts w:hint="eastAsia"/>
                <w:sz w:val="18"/>
                <w:szCs w:val="18"/>
              </w:rPr>
              <w:t>重点工作管理</w:t>
            </w:r>
          </w:p>
        </w:tc>
        <w:tc>
          <w:tcPr>
            <w:tcW w:w="4252" w:type="dxa"/>
            <w:gridSpan w:val="3"/>
            <w:shd w:val="clear" w:color="auto" w:fill="auto"/>
            <w:vAlign w:val="center"/>
          </w:tcPr>
          <w:p>
            <w:pPr>
              <w:jc w:val="left"/>
              <w:rPr>
                <w:sz w:val="18"/>
                <w:szCs w:val="18"/>
              </w:rPr>
            </w:pPr>
            <w:r>
              <w:rPr>
                <w:rFonts w:hint="eastAsia"/>
                <w:sz w:val="18"/>
                <w:szCs w:val="18"/>
              </w:rPr>
              <w:t>重点工作管理制度健全性</w:t>
            </w:r>
          </w:p>
        </w:tc>
        <w:tc>
          <w:tcPr>
            <w:tcW w:w="2042" w:type="dxa"/>
            <w:gridSpan w:val="2"/>
            <w:shd w:val="clear" w:color="auto" w:fill="auto"/>
            <w:vAlign w:val="center"/>
          </w:tcPr>
          <w:p>
            <w:pPr>
              <w:jc w:val="center"/>
              <w:rPr>
                <w:sz w:val="18"/>
                <w:szCs w:val="18"/>
              </w:rPr>
            </w:pPr>
            <w:r>
              <w:rPr>
                <w:rFonts w:hint="eastAsia"/>
                <w:sz w:val="18"/>
                <w:szCs w:val="18"/>
              </w:rPr>
              <w:t>健全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restart"/>
            <w:shd w:val="clear" w:color="auto" w:fill="auto"/>
            <w:vAlign w:val="center"/>
          </w:tcPr>
          <w:p>
            <w:pPr>
              <w:jc w:val="center"/>
              <w:rPr>
                <w:sz w:val="18"/>
                <w:szCs w:val="18"/>
              </w:rPr>
            </w:pPr>
            <w:r>
              <w:rPr>
                <w:rFonts w:hint="eastAsia"/>
                <w:sz w:val="18"/>
                <w:szCs w:val="18"/>
              </w:rPr>
              <w:t>资产管理</w:t>
            </w:r>
          </w:p>
        </w:tc>
        <w:tc>
          <w:tcPr>
            <w:tcW w:w="4252" w:type="dxa"/>
            <w:gridSpan w:val="3"/>
            <w:shd w:val="clear" w:color="auto" w:fill="auto"/>
            <w:vAlign w:val="center"/>
          </w:tcPr>
          <w:p>
            <w:pPr>
              <w:jc w:val="left"/>
              <w:rPr>
                <w:sz w:val="18"/>
                <w:szCs w:val="18"/>
              </w:rPr>
            </w:pPr>
            <w:r>
              <w:rPr>
                <w:rFonts w:hint="eastAsia"/>
                <w:sz w:val="18"/>
                <w:szCs w:val="18"/>
              </w:rPr>
              <w:t>资产管理规范性</w:t>
            </w:r>
          </w:p>
        </w:tc>
        <w:tc>
          <w:tcPr>
            <w:tcW w:w="2042" w:type="dxa"/>
            <w:gridSpan w:val="2"/>
            <w:shd w:val="clear" w:color="auto" w:fill="auto"/>
            <w:vAlign w:val="center"/>
          </w:tcPr>
          <w:p>
            <w:pPr>
              <w:jc w:val="center"/>
              <w:rPr>
                <w:sz w:val="18"/>
                <w:szCs w:val="18"/>
              </w:rPr>
            </w:pPr>
            <w:r>
              <w:rPr>
                <w:rFonts w:hint="eastAsia"/>
                <w:sz w:val="18"/>
                <w:szCs w:val="18"/>
              </w:rPr>
              <w:t>规范</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restart"/>
            <w:shd w:val="clear" w:color="auto" w:fill="auto"/>
            <w:vAlign w:val="center"/>
          </w:tcPr>
          <w:p>
            <w:pPr>
              <w:jc w:val="center"/>
              <w:rPr>
                <w:sz w:val="18"/>
                <w:szCs w:val="18"/>
              </w:rPr>
            </w:pPr>
            <w:r>
              <w:rPr>
                <w:rFonts w:hint="eastAsia"/>
                <w:sz w:val="18"/>
                <w:szCs w:val="18"/>
              </w:rPr>
              <w:t>履职效果</w:t>
            </w:r>
          </w:p>
        </w:tc>
        <w:tc>
          <w:tcPr>
            <w:tcW w:w="1701" w:type="dxa"/>
            <w:gridSpan w:val="2"/>
            <w:vMerge w:val="restart"/>
            <w:shd w:val="clear" w:color="auto" w:fill="auto"/>
            <w:vAlign w:val="center"/>
          </w:tcPr>
          <w:p>
            <w:pPr>
              <w:jc w:val="center"/>
              <w:rPr>
                <w:sz w:val="18"/>
                <w:szCs w:val="18"/>
              </w:rPr>
            </w:pPr>
            <w:r>
              <w:rPr>
                <w:rFonts w:hint="eastAsia"/>
                <w:sz w:val="18"/>
                <w:szCs w:val="18"/>
              </w:rPr>
              <w:t>部门履职目标</w:t>
            </w:r>
          </w:p>
        </w:tc>
        <w:tc>
          <w:tcPr>
            <w:tcW w:w="4252" w:type="dxa"/>
            <w:gridSpan w:val="3"/>
            <w:shd w:val="clear" w:color="auto" w:fill="auto"/>
            <w:vAlign w:val="center"/>
          </w:tcPr>
          <w:p>
            <w:pPr>
              <w:jc w:val="left"/>
              <w:rPr>
                <w:sz w:val="18"/>
                <w:szCs w:val="18"/>
              </w:rPr>
            </w:pPr>
            <w:r>
              <w:rPr>
                <w:rFonts w:hint="eastAsia"/>
                <w:sz w:val="18"/>
                <w:szCs w:val="18"/>
              </w:rPr>
              <w:t>中小学课程体系建设</w:t>
            </w:r>
          </w:p>
        </w:tc>
        <w:tc>
          <w:tcPr>
            <w:tcW w:w="2042" w:type="dxa"/>
            <w:gridSpan w:val="2"/>
            <w:shd w:val="clear" w:color="auto" w:fill="auto"/>
            <w:vAlign w:val="center"/>
          </w:tcPr>
          <w:p>
            <w:pPr>
              <w:jc w:val="center"/>
              <w:rPr>
                <w:sz w:val="18"/>
                <w:szCs w:val="18"/>
              </w:rPr>
            </w:pPr>
            <w:r>
              <w:rPr>
                <w:rFonts w:hint="eastAsia"/>
                <w:sz w:val="18"/>
                <w:szCs w:val="18"/>
              </w:rPr>
              <w:t>完成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continue"/>
            <w:shd w:val="clear" w:color="auto" w:fill="auto"/>
            <w:vAlign w:val="center"/>
          </w:tcPr>
          <w:p>
            <w:pPr>
              <w:jc w:val="center"/>
              <w:rPr>
                <w:sz w:val="18"/>
                <w:szCs w:val="18"/>
              </w:rPr>
            </w:pPr>
          </w:p>
        </w:tc>
        <w:tc>
          <w:tcPr>
            <w:tcW w:w="4252" w:type="dxa"/>
            <w:gridSpan w:val="3"/>
            <w:shd w:val="clear" w:color="auto" w:fill="auto"/>
            <w:vAlign w:val="center"/>
          </w:tcPr>
          <w:p>
            <w:pPr>
              <w:jc w:val="left"/>
              <w:rPr>
                <w:sz w:val="18"/>
                <w:szCs w:val="18"/>
              </w:rPr>
            </w:pPr>
            <w:r>
              <w:rPr>
                <w:rFonts w:hint="eastAsia"/>
                <w:sz w:val="18"/>
                <w:szCs w:val="18"/>
              </w:rPr>
              <w:t>撰写政策研究报告和政策文件</w:t>
            </w:r>
          </w:p>
        </w:tc>
        <w:tc>
          <w:tcPr>
            <w:tcW w:w="2042" w:type="dxa"/>
            <w:gridSpan w:val="2"/>
            <w:shd w:val="clear" w:color="auto" w:fill="auto"/>
            <w:vAlign w:val="center"/>
          </w:tcPr>
          <w:p>
            <w:pPr>
              <w:jc w:val="center"/>
              <w:rPr>
                <w:sz w:val="18"/>
                <w:szCs w:val="18"/>
              </w:rPr>
            </w:pPr>
            <w:r>
              <w:rPr>
                <w:rFonts w:hint="eastAsia"/>
                <w:sz w:val="18"/>
                <w:szCs w:val="18"/>
              </w:rPr>
              <w:t>完成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continue"/>
            <w:shd w:val="clear" w:color="auto" w:fill="auto"/>
            <w:vAlign w:val="center"/>
          </w:tcPr>
          <w:p>
            <w:pPr>
              <w:jc w:val="center"/>
              <w:rPr>
                <w:sz w:val="18"/>
                <w:szCs w:val="18"/>
              </w:rPr>
            </w:pPr>
          </w:p>
        </w:tc>
        <w:tc>
          <w:tcPr>
            <w:tcW w:w="4252" w:type="dxa"/>
            <w:gridSpan w:val="3"/>
            <w:shd w:val="clear" w:color="auto" w:fill="auto"/>
            <w:vAlign w:val="center"/>
          </w:tcPr>
          <w:p>
            <w:pPr>
              <w:jc w:val="left"/>
              <w:rPr>
                <w:sz w:val="18"/>
                <w:szCs w:val="18"/>
              </w:rPr>
            </w:pPr>
            <w:r>
              <w:rPr>
                <w:rFonts w:hint="eastAsia"/>
                <w:sz w:val="18"/>
                <w:szCs w:val="18"/>
              </w:rPr>
              <w:t>组织实施重要项目与教改实验</w:t>
            </w:r>
          </w:p>
        </w:tc>
        <w:tc>
          <w:tcPr>
            <w:tcW w:w="2042" w:type="dxa"/>
            <w:gridSpan w:val="2"/>
            <w:shd w:val="clear" w:color="auto" w:fill="auto"/>
            <w:vAlign w:val="center"/>
          </w:tcPr>
          <w:p>
            <w:pPr>
              <w:jc w:val="center"/>
              <w:rPr>
                <w:sz w:val="18"/>
                <w:szCs w:val="18"/>
              </w:rPr>
            </w:pPr>
            <w:r>
              <w:rPr>
                <w:rFonts w:hint="eastAsia"/>
                <w:sz w:val="18"/>
                <w:szCs w:val="18"/>
              </w:rPr>
              <w:t>完成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continue"/>
            <w:shd w:val="clear" w:color="auto" w:fill="auto"/>
            <w:vAlign w:val="center"/>
          </w:tcPr>
          <w:p>
            <w:pPr>
              <w:jc w:val="center"/>
              <w:rPr>
                <w:sz w:val="18"/>
                <w:szCs w:val="18"/>
              </w:rPr>
            </w:pPr>
          </w:p>
        </w:tc>
        <w:tc>
          <w:tcPr>
            <w:tcW w:w="4252" w:type="dxa"/>
            <w:gridSpan w:val="3"/>
            <w:shd w:val="clear" w:color="auto" w:fill="auto"/>
            <w:vAlign w:val="center"/>
          </w:tcPr>
          <w:p>
            <w:pPr>
              <w:jc w:val="left"/>
              <w:rPr>
                <w:sz w:val="18"/>
                <w:szCs w:val="18"/>
              </w:rPr>
            </w:pPr>
            <w:r>
              <w:rPr>
                <w:rFonts w:hint="eastAsia"/>
                <w:sz w:val="18"/>
                <w:szCs w:val="18"/>
              </w:rPr>
              <w:t>教研培训活动</w:t>
            </w:r>
          </w:p>
        </w:tc>
        <w:tc>
          <w:tcPr>
            <w:tcW w:w="2042" w:type="dxa"/>
            <w:gridSpan w:val="2"/>
            <w:shd w:val="clear" w:color="auto" w:fill="auto"/>
            <w:vAlign w:val="center"/>
          </w:tcPr>
          <w:p>
            <w:pPr>
              <w:jc w:val="center"/>
              <w:rPr>
                <w:sz w:val="18"/>
                <w:szCs w:val="18"/>
              </w:rPr>
            </w:pPr>
            <w:r>
              <w:rPr>
                <w:rFonts w:hint="eastAsia"/>
                <w:sz w:val="18"/>
                <w:szCs w:val="18"/>
              </w:rPr>
              <w:t>≥1000人</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restart"/>
            <w:shd w:val="clear" w:color="auto" w:fill="auto"/>
            <w:vAlign w:val="center"/>
          </w:tcPr>
          <w:p>
            <w:pPr>
              <w:jc w:val="center"/>
              <w:rPr>
                <w:sz w:val="18"/>
                <w:szCs w:val="18"/>
              </w:rPr>
            </w:pPr>
            <w:r>
              <w:rPr>
                <w:rFonts w:hint="eastAsia"/>
                <w:sz w:val="18"/>
                <w:szCs w:val="18"/>
              </w:rPr>
              <w:t>部门效果目标</w:t>
            </w:r>
          </w:p>
        </w:tc>
        <w:tc>
          <w:tcPr>
            <w:tcW w:w="4252" w:type="dxa"/>
            <w:gridSpan w:val="3"/>
            <w:shd w:val="clear" w:color="auto" w:fill="auto"/>
            <w:vAlign w:val="center"/>
          </w:tcPr>
          <w:p>
            <w:pPr>
              <w:jc w:val="left"/>
              <w:rPr>
                <w:sz w:val="18"/>
                <w:szCs w:val="18"/>
              </w:rPr>
            </w:pPr>
            <w:r>
              <w:rPr>
                <w:rFonts w:hint="eastAsia"/>
                <w:sz w:val="18"/>
                <w:szCs w:val="18"/>
              </w:rPr>
              <w:t>全省教育科学规划课题立项评审</w:t>
            </w:r>
            <w:r>
              <w:rPr>
                <w:rFonts w:hint="eastAsia"/>
                <w:sz w:val="18"/>
                <w:szCs w:val="18"/>
              </w:rPr>
              <w:tab/>
            </w:r>
            <w:r>
              <w:rPr>
                <w:rFonts w:hint="eastAsia"/>
                <w:sz w:val="18"/>
                <w:szCs w:val="18"/>
              </w:rPr>
              <w:tab/>
            </w:r>
          </w:p>
        </w:tc>
        <w:tc>
          <w:tcPr>
            <w:tcW w:w="2042" w:type="dxa"/>
            <w:gridSpan w:val="2"/>
            <w:shd w:val="clear" w:color="auto" w:fill="auto"/>
            <w:vAlign w:val="center"/>
          </w:tcPr>
          <w:p>
            <w:pPr>
              <w:jc w:val="center"/>
              <w:rPr>
                <w:sz w:val="18"/>
                <w:szCs w:val="18"/>
              </w:rPr>
            </w:pPr>
            <w:r>
              <w:rPr>
                <w:rFonts w:hint="eastAsia"/>
                <w:sz w:val="18"/>
                <w:szCs w:val="18"/>
              </w:rPr>
              <w:t>≥3000项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continue"/>
            <w:shd w:val="clear" w:color="auto" w:fill="auto"/>
            <w:vAlign w:val="center"/>
          </w:tcPr>
          <w:p>
            <w:pPr>
              <w:jc w:val="center"/>
              <w:rPr>
                <w:sz w:val="18"/>
                <w:szCs w:val="18"/>
              </w:rPr>
            </w:pPr>
          </w:p>
        </w:tc>
        <w:tc>
          <w:tcPr>
            <w:tcW w:w="4252" w:type="dxa"/>
            <w:gridSpan w:val="3"/>
            <w:shd w:val="clear" w:color="auto" w:fill="auto"/>
            <w:vAlign w:val="center"/>
          </w:tcPr>
          <w:p>
            <w:pPr>
              <w:jc w:val="left"/>
              <w:rPr>
                <w:sz w:val="18"/>
                <w:szCs w:val="18"/>
              </w:rPr>
            </w:pPr>
            <w:r>
              <w:rPr>
                <w:rFonts w:hint="eastAsia"/>
                <w:sz w:val="18"/>
                <w:szCs w:val="18"/>
              </w:rPr>
              <w:t>全省教育科学规划课题鉴定评审</w:t>
            </w:r>
          </w:p>
        </w:tc>
        <w:tc>
          <w:tcPr>
            <w:tcW w:w="2042" w:type="dxa"/>
            <w:gridSpan w:val="2"/>
            <w:shd w:val="clear" w:color="auto" w:fill="auto"/>
            <w:vAlign w:val="center"/>
          </w:tcPr>
          <w:p>
            <w:pPr>
              <w:jc w:val="center"/>
              <w:rPr>
                <w:sz w:val="18"/>
                <w:szCs w:val="18"/>
              </w:rPr>
            </w:pPr>
            <w:r>
              <w:rPr>
                <w:rFonts w:hint="eastAsia"/>
                <w:sz w:val="18"/>
                <w:szCs w:val="18"/>
              </w:rPr>
              <w:t>≥3000项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continue"/>
            <w:shd w:val="clear" w:color="auto" w:fill="auto"/>
            <w:vAlign w:val="center"/>
          </w:tcPr>
          <w:p>
            <w:pPr>
              <w:jc w:val="center"/>
              <w:rPr>
                <w:sz w:val="18"/>
                <w:szCs w:val="18"/>
              </w:rPr>
            </w:pPr>
          </w:p>
        </w:tc>
        <w:tc>
          <w:tcPr>
            <w:tcW w:w="4252" w:type="dxa"/>
            <w:gridSpan w:val="3"/>
            <w:shd w:val="clear" w:color="auto" w:fill="auto"/>
            <w:vAlign w:val="center"/>
          </w:tcPr>
          <w:p>
            <w:pPr>
              <w:jc w:val="left"/>
              <w:rPr>
                <w:sz w:val="18"/>
                <w:szCs w:val="18"/>
              </w:rPr>
            </w:pPr>
            <w:r>
              <w:rPr>
                <w:rFonts w:hint="eastAsia"/>
                <w:sz w:val="18"/>
                <w:szCs w:val="18"/>
              </w:rPr>
              <w:t>年度重点工作完成率</w:t>
            </w:r>
          </w:p>
        </w:tc>
        <w:tc>
          <w:tcPr>
            <w:tcW w:w="2042" w:type="dxa"/>
            <w:gridSpan w:val="2"/>
            <w:shd w:val="clear" w:color="auto" w:fill="auto"/>
            <w:vAlign w:val="center"/>
          </w:tcPr>
          <w:p>
            <w:pPr>
              <w:jc w:val="center"/>
              <w:rPr>
                <w:sz w:val="18"/>
                <w:szCs w:val="18"/>
              </w:rPr>
            </w:pPr>
            <w:r>
              <w:rPr>
                <w:rFonts w:hint="eastAsia"/>
                <w:sz w:val="18"/>
                <w:szCs w:val="18"/>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continue"/>
            <w:shd w:val="clear" w:color="auto" w:fill="auto"/>
            <w:vAlign w:val="center"/>
          </w:tcPr>
          <w:p>
            <w:pPr>
              <w:jc w:val="center"/>
              <w:rPr>
                <w:sz w:val="18"/>
                <w:szCs w:val="18"/>
              </w:rPr>
            </w:pPr>
          </w:p>
        </w:tc>
        <w:tc>
          <w:tcPr>
            <w:tcW w:w="4252" w:type="dxa"/>
            <w:gridSpan w:val="3"/>
            <w:shd w:val="clear" w:color="auto" w:fill="auto"/>
            <w:vAlign w:val="center"/>
          </w:tcPr>
          <w:p>
            <w:pPr>
              <w:jc w:val="left"/>
              <w:rPr>
                <w:sz w:val="18"/>
                <w:szCs w:val="18"/>
              </w:rPr>
            </w:pPr>
            <w:r>
              <w:rPr>
                <w:rFonts w:hint="eastAsia"/>
                <w:sz w:val="18"/>
                <w:szCs w:val="18"/>
              </w:rPr>
              <w:t>高三一诊、二诊考试命题制卷</w:t>
            </w:r>
            <w:r>
              <w:rPr>
                <w:rFonts w:hint="eastAsia"/>
                <w:sz w:val="18"/>
                <w:szCs w:val="18"/>
              </w:rPr>
              <w:tab/>
            </w:r>
            <w:r>
              <w:rPr>
                <w:rFonts w:hint="eastAsia"/>
                <w:sz w:val="18"/>
                <w:szCs w:val="18"/>
              </w:rPr>
              <w:tab/>
            </w:r>
          </w:p>
        </w:tc>
        <w:tc>
          <w:tcPr>
            <w:tcW w:w="2042" w:type="dxa"/>
            <w:gridSpan w:val="2"/>
            <w:shd w:val="clear" w:color="auto" w:fill="auto"/>
            <w:vAlign w:val="center"/>
          </w:tcPr>
          <w:p>
            <w:pPr>
              <w:jc w:val="center"/>
              <w:rPr>
                <w:sz w:val="18"/>
                <w:szCs w:val="18"/>
              </w:rPr>
            </w:pPr>
            <w:r>
              <w:rPr>
                <w:rFonts w:hint="eastAsia"/>
                <w:sz w:val="18"/>
                <w:szCs w:val="18"/>
              </w:rPr>
              <w:t>完成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restart"/>
            <w:shd w:val="clear" w:color="auto" w:fill="auto"/>
            <w:vAlign w:val="center"/>
          </w:tcPr>
          <w:p>
            <w:pPr>
              <w:jc w:val="center"/>
              <w:rPr>
                <w:sz w:val="18"/>
                <w:szCs w:val="18"/>
              </w:rPr>
            </w:pPr>
            <w:r>
              <w:rPr>
                <w:rFonts w:hint="eastAsia"/>
                <w:sz w:val="18"/>
                <w:szCs w:val="18"/>
              </w:rPr>
              <w:t>社会影响</w:t>
            </w:r>
          </w:p>
        </w:tc>
        <w:tc>
          <w:tcPr>
            <w:tcW w:w="4252" w:type="dxa"/>
            <w:gridSpan w:val="3"/>
            <w:shd w:val="clear" w:color="auto" w:fill="auto"/>
            <w:vAlign w:val="center"/>
          </w:tcPr>
          <w:p>
            <w:pPr>
              <w:jc w:val="left"/>
              <w:rPr>
                <w:sz w:val="18"/>
                <w:szCs w:val="18"/>
              </w:rPr>
            </w:pPr>
            <w:r>
              <w:rPr>
                <w:rFonts w:hint="eastAsia"/>
                <w:sz w:val="18"/>
                <w:szCs w:val="18"/>
              </w:rPr>
              <w:t>社会服务对象满意度</w:t>
            </w:r>
          </w:p>
        </w:tc>
        <w:tc>
          <w:tcPr>
            <w:tcW w:w="2042" w:type="dxa"/>
            <w:gridSpan w:val="2"/>
            <w:shd w:val="clear" w:color="auto" w:fill="auto"/>
            <w:vAlign w:val="center"/>
          </w:tcPr>
          <w:p>
            <w:pPr>
              <w:jc w:val="center"/>
              <w:rPr>
                <w:sz w:val="18"/>
                <w:szCs w:val="18"/>
              </w:rPr>
            </w:pPr>
            <w:r>
              <w:rPr>
                <w:rFonts w:hint="eastAsia"/>
                <w:sz w:val="18"/>
                <w:szCs w:val="18"/>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restart"/>
            <w:shd w:val="clear" w:color="auto" w:fill="auto"/>
            <w:vAlign w:val="center"/>
          </w:tcPr>
          <w:p>
            <w:pPr>
              <w:jc w:val="center"/>
              <w:rPr>
                <w:sz w:val="18"/>
                <w:szCs w:val="18"/>
              </w:rPr>
            </w:pPr>
            <w:r>
              <w:rPr>
                <w:rFonts w:hint="eastAsia"/>
                <w:sz w:val="18"/>
                <w:szCs w:val="18"/>
              </w:rPr>
              <w:t>服务对象满意度</w:t>
            </w:r>
          </w:p>
        </w:tc>
        <w:tc>
          <w:tcPr>
            <w:tcW w:w="4252" w:type="dxa"/>
            <w:gridSpan w:val="3"/>
            <w:shd w:val="clear" w:color="auto" w:fill="auto"/>
            <w:vAlign w:val="center"/>
          </w:tcPr>
          <w:p>
            <w:pPr>
              <w:jc w:val="left"/>
              <w:rPr>
                <w:sz w:val="18"/>
                <w:szCs w:val="18"/>
              </w:rPr>
            </w:pPr>
            <w:r>
              <w:rPr>
                <w:rFonts w:hint="eastAsia"/>
                <w:sz w:val="18"/>
                <w:szCs w:val="18"/>
              </w:rPr>
              <w:t>全省各学科教研员、教师</w:t>
            </w:r>
          </w:p>
        </w:tc>
        <w:tc>
          <w:tcPr>
            <w:tcW w:w="2042" w:type="dxa"/>
            <w:gridSpan w:val="2"/>
            <w:shd w:val="clear" w:color="auto" w:fill="auto"/>
            <w:vAlign w:val="center"/>
          </w:tcPr>
          <w:p>
            <w:pPr>
              <w:jc w:val="center"/>
              <w:rPr>
                <w:sz w:val="18"/>
                <w:szCs w:val="18"/>
              </w:rPr>
            </w:pPr>
            <w:r>
              <w:rPr>
                <w:rFonts w:hint="eastAsia"/>
                <w:sz w:val="18"/>
                <w:szCs w:val="18"/>
              </w:rPr>
              <w:t>≥95%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restart"/>
            <w:shd w:val="clear" w:color="auto" w:fill="auto"/>
            <w:vAlign w:val="center"/>
          </w:tcPr>
          <w:p>
            <w:pPr>
              <w:jc w:val="center"/>
              <w:rPr>
                <w:sz w:val="18"/>
                <w:szCs w:val="18"/>
              </w:rPr>
            </w:pPr>
            <w:r>
              <w:rPr>
                <w:rFonts w:hint="eastAsia"/>
                <w:sz w:val="18"/>
                <w:szCs w:val="18"/>
              </w:rPr>
              <w:t>能力建设</w:t>
            </w:r>
          </w:p>
        </w:tc>
        <w:tc>
          <w:tcPr>
            <w:tcW w:w="1701" w:type="dxa"/>
            <w:gridSpan w:val="2"/>
            <w:vMerge w:val="restart"/>
            <w:shd w:val="clear" w:color="auto" w:fill="auto"/>
            <w:vAlign w:val="center"/>
          </w:tcPr>
          <w:p>
            <w:pPr>
              <w:jc w:val="center"/>
              <w:rPr>
                <w:sz w:val="18"/>
                <w:szCs w:val="18"/>
              </w:rPr>
            </w:pPr>
            <w:r>
              <w:rPr>
                <w:rFonts w:hint="eastAsia"/>
                <w:sz w:val="18"/>
                <w:szCs w:val="18"/>
              </w:rPr>
              <w:t>长效管理</w:t>
            </w:r>
          </w:p>
        </w:tc>
        <w:tc>
          <w:tcPr>
            <w:tcW w:w="4252" w:type="dxa"/>
            <w:gridSpan w:val="3"/>
            <w:shd w:val="clear" w:color="auto" w:fill="auto"/>
            <w:vAlign w:val="center"/>
          </w:tcPr>
          <w:p>
            <w:pPr>
              <w:jc w:val="left"/>
              <w:rPr>
                <w:sz w:val="18"/>
                <w:szCs w:val="18"/>
              </w:rPr>
            </w:pPr>
            <w:r>
              <w:rPr>
                <w:rFonts w:hint="eastAsia"/>
                <w:sz w:val="18"/>
                <w:szCs w:val="18"/>
              </w:rPr>
              <w:t>中期规划建设完备程度</w:t>
            </w:r>
          </w:p>
        </w:tc>
        <w:tc>
          <w:tcPr>
            <w:tcW w:w="2042" w:type="dxa"/>
            <w:gridSpan w:val="2"/>
            <w:shd w:val="clear" w:color="auto" w:fill="auto"/>
            <w:vAlign w:val="center"/>
          </w:tcPr>
          <w:p>
            <w:pPr>
              <w:jc w:val="center"/>
              <w:rPr>
                <w:sz w:val="18"/>
                <w:szCs w:val="18"/>
              </w:rPr>
            </w:pPr>
            <w:r>
              <w:rPr>
                <w:rFonts w:hint="eastAsia"/>
                <w:sz w:val="18"/>
                <w:szCs w:val="18"/>
              </w:rPr>
              <w:t>完备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continue"/>
            <w:shd w:val="clear" w:color="auto" w:fill="auto"/>
            <w:vAlign w:val="center"/>
          </w:tcPr>
          <w:p>
            <w:pPr>
              <w:jc w:val="center"/>
              <w:rPr>
                <w:sz w:val="18"/>
                <w:szCs w:val="18"/>
              </w:rPr>
            </w:pPr>
          </w:p>
        </w:tc>
        <w:tc>
          <w:tcPr>
            <w:tcW w:w="4252" w:type="dxa"/>
            <w:gridSpan w:val="3"/>
            <w:shd w:val="clear" w:color="auto" w:fill="auto"/>
            <w:vAlign w:val="center"/>
          </w:tcPr>
          <w:p>
            <w:pPr>
              <w:jc w:val="left"/>
              <w:rPr>
                <w:sz w:val="18"/>
                <w:szCs w:val="18"/>
              </w:rPr>
            </w:pPr>
            <w:r>
              <w:rPr>
                <w:rFonts w:hint="eastAsia"/>
                <w:sz w:val="18"/>
                <w:szCs w:val="18"/>
              </w:rPr>
              <w:t>长效管理机制</w:t>
            </w:r>
          </w:p>
        </w:tc>
        <w:tc>
          <w:tcPr>
            <w:tcW w:w="2042" w:type="dxa"/>
            <w:gridSpan w:val="2"/>
            <w:shd w:val="clear" w:color="auto" w:fill="auto"/>
            <w:vAlign w:val="center"/>
          </w:tcPr>
          <w:p>
            <w:pPr>
              <w:jc w:val="center"/>
              <w:rPr>
                <w:sz w:val="18"/>
                <w:szCs w:val="18"/>
              </w:rPr>
            </w:pPr>
            <w:r>
              <w:rPr>
                <w:rFonts w:hint="eastAsia"/>
                <w:sz w:val="18"/>
                <w:szCs w:val="18"/>
              </w:rPr>
              <w:t>健全、稳定</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vMerge w:val="restart"/>
            <w:shd w:val="clear" w:color="auto" w:fill="auto"/>
            <w:vAlign w:val="center"/>
          </w:tcPr>
          <w:p>
            <w:pPr>
              <w:jc w:val="center"/>
              <w:rPr>
                <w:sz w:val="18"/>
                <w:szCs w:val="18"/>
              </w:rPr>
            </w:pPr>
            <w:r>
              <w:rPr>
                <w:rFonts w:hint="eastAsia"/>
                <w:sz w:val="18"/>
                <w:szCs w:val="18"/>
              </w:rPr>
              <w:t>人力资源建设</w:t>
            </w:r>
          </w:p>
        </w:tc>
        <w:tc>
          <w:tcPr>
            <w:tcW w:w="4252" w:type="dxa"/>
            <w:gridSpan w:val="3"/>
            <w:shd w:val="clear" w:color="auto" w:fill="auto"/>
            <w:vAlign w:val="center"/>
          </w:tcPr>
          <w:p>
            <w:pPr>
              <w:jc w:val="left"/>
              <w:rPr>
                <w:sz w:val="18"/>
                <w:szCs w:val="18"/>
              </w:rPr>
            </w:pPr>
            <w:r>
              <w:rPr>
                <w:rFonts w:hint="eastAsia"/>
                <w:sz w:val="18"/>
                <w:szCs w:val="18"/>
              </w:rPr>
              <w:t>人员培训机制完备性</w:t>
            </w:r>
          </w:p>
        </w:tc>
        <w:tc>
          <w:tcPr>
            <w:tcW w:w="2042" w:type="dxa"/>
            <w:gridSpan w:val="2"/>
            <w:shd w:val="clear" w:color="auto" w:fill="auto"/>
            <w:vAlign w:val="center"/>
          </w:tcPr>
          <w:p>
            <w:pPr>
              <w:jc w:val="center"/>
              <w:rPr>
                <w:sz w:val="18"/>
                <w:szCs w:val="18"/>
              </w:rPr>
            </w:pPr>
            <w:r>
              <w:rPr>
                <w:rFonts w:hint="eastAsia"/>
                <w:sz w:val="18"/>
                <w:szCs w:val="18"/>
              </w:rPr>
              <w:t>培训及时、完备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gridSpan w:val="2"/>
            <w:shd w:val="clear" w:color="auto" w:fill="auto"/>
            <w:vAlign w:val="center"/>
          </w:tcPr>
          <w:p>
            <w:pPr>
              <w:jc w:val="center"/>
              <w:rPr>
                <w:sz w:val="18"/>
                <w:szCs w:val="18"/>
              </w:rPr>
            </w:pPr>
            <w:r>
              <w:rPr>
                <w:rFonts w:hint="eastAsia"/>
                <w:sz w:val="18"/>
                <w:szCs w:val="18"/>
              </w:rPr>
              <w:t>档案管理</w:t>
            </w:r>
          </w:p>
        </w:tc>
        <w:tc>
          <w:tcPr>
            <w:tcW w:w="4252" w:type="dxa"/>
            <w:gridSpan w:val="3"/>
            <w:shd w:val="clear" w:color="auto" w:fill="auto"/>
            <w:vAlign w:val="center"/>
          </w:tcPr>
          <w:p>
            <w:pPr>
              <w:jc w:val="left"/>
              <w:rPr>
                <w:sz w:val="18"/>
                <w:szCs w:val="18"/>
              </w:rPr>
            </w:pPr>
            <w:r>
              <w:rPr>
                <w:rFonts w:hint="eastAsia"/>
                <w:sz w:val="18"/>
                <w:szCs w:val="18"/>
              </w:rPr>
              <w:t>档案管理完备性</w:t>
            </w:r>
            <w:r>
              <w:rPr>
                <w:rFonts w:hint="eastAsia"/>
                <w:sz w:val="18"/>
                <w:szCs w:val="18"/>
              </w:rPr>
              <w:tab/>
            </w:r>
            <w:r>
              <w:rPr>
                <w:rFonts w:hint="eastAsia"/>
                <w:sz w:val="18"/>
                <w:szCs w:val="18"/>
              </w:rPr>
              <w:tab/>
            </w:r>
            <w:r>
              <w:rPr>
                <w:rFonts w:hint="eastAsia"/>
                <w:sz w:val="18"/>
                <w:szCs w:val="18"/>
              </w:rPr>
              <w:tab/>
            </w:r>
          </w:p>
        </w:tc>
        <w:tc>
          <w:tcPr>
            <w:tcW w:w="2042" w:type="dxa"/>
            <w:gridSpan w:val="2"/>
            <w:shd w:val="clear" w:color="auto" w:fill="auto"/>
            <w:vAlign w:val="center"/>
          </w:tcPr>
          <w:p>
            <w:pPr>
              <w:jc w:val="center"/>
              <w:rPr>
                <w:sz w:val="18"/>
                <w:szCs w:val="18"/>
              </w:rPr>
            </w:pPr>
            <w:r>
              <w:rPr>
                <w:rFonts w:hint="eastAsia"/>
                <w:sz w:val="18"/>
                <w:szCs w:val="18"/>
              </w:rPr>
              <w:t>完备</w:t>
            </w:r>
          </w:p>
        </w:tc>
      </w:tr>
    </w:tbl>
    <w:p>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pPr>
        <w:spacing w:line="560" w:lineRule="exact"/>
        <w:jc w:val="center"/>
        <w:rPr>
          <w:rFonts w:ascii="仿宋" w:eastAsia="仿宋"/>
          <w:b/>
          <w:sz w:val="28"/>
          <w:szCs w:val="28"/>
        </w:rPr>
      </w:pPr>
      <w:r>
        <w:rPr>
          <w:rFonts w:hint="eastAsia" w:ascii="仿宋" w:eastAsia="仿宋"/>
          <w:b/>
          <w:sz w:val="28"/>
          <w:szCs w:val="28"/>
        </w:rPr>
        <w:t>项目支出绩效目标表</w:t>
      </w:r>
    </w:p>
    <w:p>
      <w:pPr>
        <w:spacing w:line="560" w:lineRule="exact"/>
        <w:jc w:val="center"/>
        <w:rPr>
          <w:rFonts w:ascii="仿宋" w:eastAsia="仿宋"/>
          <w:b/>
          <w:sz w:val="24"/>
          <w:szCs w:val="24"/>
        </w:rPr>
      </w:pPr>
      <w:r>
        <w:rPr>
          <w:rFonts w:hint="eastAsia" w:ascii="仿宋" w:eastAsia="仿宋"/>
          <w:b/>
          <w:sz w:val="24"/>
          <w:szCs w:val="24"/>
        </w:rPr>
        <w:t>（2024年度）</w:t>
      </w:r>
    </w:p>
    <w:tbl>
      <w:tblPr>
        <w:tblStyle w:val="8"/>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01"/>
        <w:gridCol w:w="1327"/>
        <w:gridCol w:w="1460"/>
        <w:gridCol w:w="1465"/>
        <w:gridCol w:w="204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shd w:val="clear" w:color="auto" w:fill="auto"/>
            <w:vAlign w:val="center"/>
          </w:tcPr>
          <w:p>
            <w:pPr>
              <w:jc w:val="center"/>
              <w:rPr>
                <w:b/>
                <w:sz w:val="18"/>
                <w:szCs w:val="18"/>
              </w:rPr>
            </w:pPr>
            <w:r>
              <w:rPr>
                <w:rFonts w:hint="eastAsia"/>
                <w:b/>
                <w:sz w:val="18"/>
                <w:szCs w:val="18"/>
              </w:rPr>
              <w:t>项目名称</w:t>
            </w:r>
          </w:p>
        </w:tc>
        <w:tc>
          <w:tcPr>
            <w:tcW w:w="7995" w:type="dxa"/>
            <w:gridSpan w:val="5"/>
            <w:shd w:val="clear" w:color="auto" w:fill="auto"/>
            <w:vAlign w:val="center"/>
          </w:tcPr>
          <w:p>
            <w:pPr>
              <w:jc w:val="center"/>
              <w:rPr>
                <w:sz w:val="18"/>
                <w:szCs w:val="18"/>
              </w:rPr>
            </w:pPr>
            <w:r>
              <w:rPr>
                <w:rFonts w:hint="eastAsia"/>
                <w:sz w:val="18"/>
                <w:szCs w:val="18"/>
              </w:rPr>
              <w:t>特殊教育补助</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shd w:val="clear" w:color="auto" w:fill="auto"/>
            <w:vAlign w:val="center"/>
          </w:tcPr>
          <w:p>
            <w:pPr>
              <w:jc w:val="center"/>
              <w:rPr>
                <w:b/>
                <w:sz w:val="18"/>
                <w:szCs w:val="18"/>
              </w:rPr>
            </w:pPr>
            <w:r>
              <w:rPr>
                <w:rFonts w:hint="eastAsia"/>
                <w:b/>
                <w:sz w:val="18"/>
                <w:szCs w:val="18"/>
              </w:rPr>
              <w:t>主管部门及代码</w:t>
            </w:r>
          </w:p>
        </w:tc>
        <w:tc>
          <w:tcPr>
            <w:tcW w:w="3028" w:type="dxa"/>
            <w:gridSpan w:val="2"/>
            <w:shd w:val="clear" w:color="auto" w:fill="auto"/>
            <w:vAlign w:val="center"/>
          </w:tcPr>
          <w:p>
            <w:pPr>
              <w:jc w:val="center"/>
              <w:rPr>
                <w:sz w:val="18"/>
                <w:szCs w:val="18"/>
              </w:rPr>
            </w:pPr>
            <w:r>
              <w:rPr>
                <w:rFonts w:ascii="宋体" w:cs="宋体"/>
                <w:color w:val="000000"/>
                <w:kern w:val="0"/>
                <w:sz w:val="18"/>
                <w:szCs w:val="18"/>
                <w:highlight w:val="white"/>
              </w:rPr>
              <w:t>303-甘肃省教育厅</w:t>
            </w:r>
          </w:p>
        </w:tc>
        <w:tc>
          <w:tcPr>
            <w:tcW w:w="1460" w:type="dxa"/>
            <w:shd w:val="clear" w:color="auto" w:fill="auto"/>
            <w:vAlign w:val="center"/>
          </w:tcPr>
          <w:p>
            <w:pPr>
              <w:jc w:val="center"/>
              <w:rPr>
                <w:b/>
                <w:sz w:val="18"/>
                <w:szCs w:val="18"/>
              </w:rPr>
            </w:pPr>
            <w:r>
              <w:rPr>
                <w:rFonts w:hint="eastAsia"/>
                <w:b/>
                <w:sz w:val="18"/>
                <w:szCs w:val="18"/>
              </w:rPr>
              <w:t>实施单位</w:t>
            </w:r>
          </w:p>
        </w:tc>
        <w:tc>
          <w:tcPr>
            <w:tcW w:w="3507" w:type="dxa"/>
            <w:gridSpan w:val="2"/>
            <w:shd w:val="clear" w:color="auto" w:fill="auto"/>
            <w:vAlign w:val="center"/>
          </w:tcPr>
          <w:p>
            <w:pPr>
              <w:jc w:val="center"/>
              <w:rPr>
                <w:sz w:val="18"/>
                <w:szCs w:val="18"/>
              </w:rPr>
            </w:pPr>
            <w:r>
              <w:rPr>
                <w:rFonts w:ascii="宋体" w:cs="宋体"/>
                <w:color w:val="000000"/>
                <w:kern w:val="0"/>
                <w:sz w:val="18"/>
                <w:szCs w:val="18"/>
                <w:highlight w:val="white"/>
              </w:rPr>
              <w:t>甘肃省教育科学研究院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vMerge w:val="restart"/>
            <w:shd w:val="clear" w:color="auto" w:fill="auto"/>
            <w:vAlign w:val="center"/>
          </w:tcPr>
          <w:p>
            <w:pPr>
              <w:jc w:val="center"/>
              <w:rPr>
                <w:b/>
                <w:sz w:val="18"/>
                <w:szCs w:val="18"/>
              </w:rPr>
            </w:pPr>
            <w:r>
              <w:rPr>
                <w:rFonts w:hint="eastAsia"/>
                <w:b/>
                <w:sz w:val="18"/>
                <w:szCs w:val="18"/>
              </w:rPr>
              <w:t>项目金额</w:t>
            </w:r>
          </w:p>
        </w:tc>
        <w:tc>
          <w:tcPr>
            <w:tcW w:w="3028" w:type="dxa"/>
            <w:gridSpan w:val="2"/>
            <w:shd w:val="clear" w:color="auto" w:fill="auto"/>
            <w:vAlign w:val="center"/>
          </w:tcPr>
          <w:p>
            <w:pPr>
              <w:jc w:val="left"/>
              <w:rPr>
                <w:b/>
                <w:sz w:val="18"/>
                <w:szCs w:val="18"/>
              </w:rPr>
            </w:pPr>
            <w:r>
              <w:rPr>
                <w:rFonts w:hint="eastAsia"/>
                <w:b/>
                <w:sz w:val="18"/>
                <w:szCs w:val="18"/>
              </w:rPr>
              <w:t>年度资金总额：</w:t>
            </w:r>
          </w:p>
        </w:tc>
        <w:tc>
          <w:tcPr>
            <w:tcW w:w="4967" w:type="dxa"/>
            <w:gridSpan w:val="3"/>
            <w:shd w:val="clear" w:color="auto" w:fill="auto"/>
            <w:vAlign w:val="center"/>
          </w:tcPr>
          <w:p>
            <w:pPr>
              <w:jc w:val="center"/>
              <w:rPr>
                <w:sz w:val="18"/>
                <w:szCs w:val="18"/>
              </w:rPr>
            </w:pPr>
            <w:r>
              <w:rPr>
                <w:rFonts w:hint="eastAsia"/>
                <w:sz w:val="18"/>
                <w:szCs w:val="18"/>
              </w:rPr>
              <w:t>30.00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vMerge w:val="continue"/>
            <w:shd w:val="clear" w:color="auto" w:fill="auto"/>
            <w:vAlign w:val="center"/>
          </w:tcPr>
          <w:p>
            <w:pPr>
              <w:jc w:val="center"/>
              <w:rPr>
                <w:b/>
                <w:sz w:val="18"/>
                <w:szCs w:val="18"/>
              </w:rPr>
            </w:pPr>
          </w:p>
        </w:tc>
        <w:tc>
          <w:tcPr>
            <w:tcW w:w="3028" w:type="dxa"/>
            <w:gridSpan w:val="2"/>
            <w:shd w:val="clear" w:color="auto" w:fill="auto"/>
            <w:vAlign w:val="center"/>
          </w:tcPr>
          <w:p>
            <w:pPr>
              <w:jc w:val="left"/>
              <w:rPr>
                <w:b/>
                <w:sz w:val="18"/>
                <w:szCs w:val="18"/>
              </w:rPr>
            </w:pPr>
            <w:r>
              <w:rPr>
                <w:rFonts w:hint="eastAsia"/>
                <w:b/>
                <w:sz w:val="18"/>
                <w:szCs w:val="18"/>
              </w:rPr>
              <w:t xml:space="preserve">    其中：当年财政拨款</w:t>
            </w:r>
          </w:p>
        </w:tc>
        <w:tc>
          <w:tcPr>
            <w:tcW w:w="4967" w:type="dxa"/>
            <w:gridSpan w:val="3"/>
            <w:shd w:val="clear" w:color="auto" w:fill="auto"/>
            <w:vAlign w:val="center"/>
          </w:tcPr>
          <w:p>
            <w:pPr>
              <w:jc w:val="center"/>
              <w:rPr>
                <w:sz w:val="18"/>
                <w:szCs w:val="18"/>
              </w:rPr>
            </w:pPr>
            <w:r>
              <w:rPr>
                <w:rFonts w:ascii="宋体" w:cs="宋体"/>
                <w:color w:val="000000"/>
                <w:kern w:val="0"/>
                <w:sz w:val="18"/>
                <w:szCs w:val="18"/>
                <w:highlight w:val="white"/>
              </w:rPr>
              <w:t>30.00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vMerge w:val="continue"/>
            <w:shd w:val="clear" w:color="auto" w:fill="auto"/>
            <w:vAlign w:val="center"/>
          </w:tcPr>
          <w:p>
            <w:pPr>
              <w:jc w:val="center"/>
              <w:rPr>
                <w:b/>
                <w:sz w:val="18"/>
                <w:szCs w:val="18"/>
              </w:rPr>
            </w:pPr>
          </w:p>
        </w:tc>
        <w:tc>
          <w:tcPr>
            <w:tcW w:w="3028" w:type="dxa"/>
            <w:gridSpan w:val="2"/>
            <w:shd w:val="clear" w:color="auto" w:fill="auto"/>
            <w:vAlign w:val="center"/>
          </w:tcPr>
          <w:p>
            <w:pPr>
              <w:jc w:val="left"/>
              <w:rPr>
                <w:b/>
                <w:sz w:val="18"/>
                <w:szCs w:val="18"/>
              </w:rPr>
            </w:pPr>
            <w:r>
              <w:rPr>
                <w:rFonts w:hint="eastAsia"/>
                <w:b/>
                <w:sz w:val="18"/>
                <w:szCs w:val="18"/>
              </w:rPr>
              <w:t xml:space="preserve">           上年结转资金</w:t>
            </w:r>
          </w:p>
        </w:tc>
        <w:tc>
          <w:tcPr>
            <w:tcW w:w="4967" w:type="dxa"/>
            <w:gridSpan w:val="3"/>
            <w:shd w:val="clear" w:color="auto" w:fill="auto"/>
            <w:vAlign w:val="center"/>
          </w:tcPr>
          <w:p>
            <w:pPr>
              <w:jc w:val="center"/>
              <w:rPr>
                <w:sz w:val="18"/>
                <w:szCs w:val="18"/>
              </w:rPr>
            </w:pPr>
            <w:r>
              <w:rPr>
                <w:rFonts w:ascii="宋体" w:cs="宋体"/>
                <w:color w:val="000000"/>
                <w:kern w:val="0"/>
                <w:sz w:val="18"/>
                <w:szCs w:val="18"/>
                <w:highlight w:val="white"/>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vMerge w:val="continue"/>
            <w:shd w:val="clear" w:color="auto" w:fill="auto"/>
            <w:vAlign w:val="center"/>
          </w:tcPr>
          <w:p>
            <w:pPr>
              <w:jc w:val="center"/>
              <w:rPr>
                <w:b/>
                <w:sz w:val="18"/>
                <w:szCs w:val="18"/>
              </w:rPr>
            </w:pPr>
          </w:p>
        </w:tc>
        <w:tc>
          <w:tcPr>
            <w:tcW w:w="3028" w:type="dxa"/>
            <w:gridSpan w:val="2"/>
            <w:shd w:val="clear" w:color="auto" w:fill="auto"/>
            <w:vAlign w:val="center"/>
          </w:tcPr>
          <w:p>
            <w:pPr>
              <w:jc w:val="left"/>
              <w:rPr>
                <w:b/>
                <w:sz w:val="18"/>
                <w:szCs w:val="18"/>
              </w:rPr>
            </w:pPr>
            <w:r>
              <w:rPr>
                <w:rFonts w:hint="eastAsia"/>
                <w:b/>
                <w:sz w:val="18"/>
                <w:szCs w:val="18"/>
              </w:rPr>
              <w:t xml:space="preserve">            其他资金</w:t>
            </w:r>
          </w:p>
        </w:tc>
        <w:tc>
          <w:tcPr>
            <w:tcW w:w="4967" w:type="dxa"/>
            <w:gridSpan w:val="3"/>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1526" w:type="dxa"/>
            <w:shd w:val="clear" w:color="auto" w:fill="auto"/>
            <w:vAlign w:val="center"/>
          </w:tcPr>
          <w:p>
            <w:pPr>
              <w:jc w:val="center"/>
              <w:rPr>
                <w:b/>
                <w:sz w:val="18"/>
                <w:szCs w:val="18"/>
              </w:rPr>
            </w:pPr>
            <w:r>
              <w:rPr>
                <w:rFonts w:hint="eastAsia"/>
                <w:b/>
                <w:sz w:val="18"/>
                <w:szCs w:val="18"/>
              </w:rPr>
              <w:t>总体目标</w:t>
            </w:r>
          </w:p>
        </w:tc>
        <w:tc>
          <w:tcPr>
            <w:tcW w:w="7995" w:type="dxa"/>
            <w:gridSpan w:val="5"/>
            <w:shd w:val="clear" w:color="auto" w:fill="auto"/>
            <w:vAlign w:val="center"/>
          </w:tcPr>
          <w:p>
            <w:pPr>
              <w:rPr>
                <w:b/>
                <w:sz w:val="18"/>
                <w:szCs w:val="18"/>
              </w:rPr>
            </w:pPr>
            <w:r>
              <w:rPr>
                <w:rFonts w:hint="eastAsia"/>
                <w:color w:val="000000"/>
                <w:sz w:val="18"/>
                <w:szCs w:val="18"/>
              </w:rPr>
              <w:t>完成2024年特殊教育办学质量评估与教育教学研讨活动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shd w:val="clear" w:color="auto" w:fill="auto"/>
            <w:vAlign w:val="center"/>
          </w:tcPr>
          <w:p>
            <w:pPr>
              <w:jc w:val="center"/>
              <w:rPr>
                <w:b/>
                <w:sz w:val="18"/>
                <w:szCs w:val="18"/>
              </w:rPr>
            </w:pPr>
            <w:r>
              <w:rPr>
                <w:rFonts w:hint="eastAsia"/>
                <w:b/>
                <w:sz w:val="18"/>
                <w:szCs w:val="18"/>
              </w:rPr>
              <w:t>一级指标</w:t>
            </w:r>
          </w:p>
        </w:tc>
        <w:tc>
          <w:tcPr>
            <w:tcW w:w="1701" w:type="dxa"/>
            <w:shd w:val="clear" w:color="auto" w:fill="auto"/>
            <w:vAlign w:val="center"/>
          </w:tcPr>
          <w:p>
            <w:pPr>
              <w:jc w:val="center"/>
              <w:rPr>
                <w:b/>
                <w:sz w:val="18"/>
                <w:szCs w:val="18"/>
              </w:rPr>
            </w:pPr>
            <w:r>
              <w:rPr>
                <w:rFonts w:hint="eastAsia"/>
                <w:b/>
                <w:sz w:val="18"/>
                <w:szCs w:val="18"/>
              </w:rPr>
              <w:t>二级指标</w:t>
            </w:r>
          </w:p>
        </w:tc>
        <w:tc>
          <w:tcPr>
            <w:tcW w:w="4252" w:type="dxa"/>
            <w:gridSpan w:val="3"/>
            <w:shd w:val="clear" w:color="auto" w:fill="auto"/>
            <w:vAlign w:val="center"/>
          </w:tcPr>
          <w:p>
            <w:pPr>
              <w:jc w:val="center"/>
              <w:rPr>
                <w:b/>
                <w:sz w:val="18"/>
                <w:szCs w:val="18"/>
              </w:rPr>
            </w:pPr>
            <w:r>
              <w:rPr>
                <w:rFonts w:hint="eastAsia"/>
                <w:b/>
                <w:sz w:val="18"/>
                <w:szCs w:val="18"/>
              </w:rPr>
              <w:t>三级指标</w:t>
            </w:r>
          </w:p>
        </w:tc>
        <w:tc>
          <w:tcPr>
            <w:tcW w:w="2042" w:type="dxa"/>
            <w:shd w:val="clear" w:color="auto" w:fill="auto"/>
            <w:vAlign w:val="center"/>
          </w:tcPr>
          <w:p>
            <w:pPr>
              <w:jc w:val="center"/>
              <w:rPr>
                <w:b/>
                <w:sz w:val="18"/>
                <w:szCs w:val="18"/>
              </w:rPr>
            </w:pPr>
            <w:r>
              <w:rPr>
                <w:rFonts w:hint="eastAsia"/>
                <w:b/>
                <w:sz w:val="18"/>
                <w:szCs w:val="18"/>
              </w:rPr>
              <w:t>指标目标值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restart"/>
            <w:shd w:val="clear" w:color="auto" w:fill="auto"/>
            <w:vAlign w:val="center"/>
          </w:tcPr>
          <w:p>
            <w:pPr>
              <w:jc w:val="center"/>
              <w:rPr>
                <w:sz w:val="18"/>
                <w:szCs w:val="18"/>
              </w:rPr>
            </w:pPr>
            <w:r>
              <w:rPr>
                <w:rFonts w:hint="eastAsia"/>
                <w:sz w:val="18"/>
                <w:szCs w:val="18"/>
              </w:rPr>
              <w:t>产出指标</w:t>
            </w:r>
          </w:p>
        </w:tc>
        <w:tc>
          <w:tcPr>
            <w:tcW w:w="1701" w:type="dxa"/>
            <w:vMerge w:val="restart"/>
            <w:shd w:val="clear" w:color="auto" w:fill="auto"/>
            <w:vAlign w:val="center"/>
          </w:tcPr>
          <w:p>
            <w:pPr>
              <w:jc w:val="center"/>
              <w:rPr>
                <w:sz w:val="18"/>
                <w:szCs w:val="18"/>
              </w:rPr>
            </w:pPr>
            <w:r>
              <w:rPr>
                <w:rFonts w:hint="eastAsia"/>
                <w:sz w:val="18"/>
                <w:szCs w:val="18"/>
              </w:rPr>
              <w:t>数量指标</w:t>
            </w:r>
          </w:p>
        </w:tc>
        <w:tc>
          <w:tcPr>
            <w:tcW w:w="4252" w:type="dxa"/>
            <w:gridSpan w:val="3"/>
            <w:shd w:val="clear" w:color="auto" w:fill="auto"/>
            <w:vAlign w:val="center"/>
          </w:tcPr>
          <w:p>
            <w:pPr>
              <w:jc w:val="left"/>
              <w:rPr>
                <w:sz w:val="18"/>
                <w:szCs w:val="18"/>
              </w:rPr>
            </w:pPr>
            <w:r>
              <w:rPr>
                <w:rFonts w:hint="eastAsia"/>
                <w:sz w:val="18"/>
                <w:szCs w:val="18"/>
              </w:rPr>
              <w:t>特教学校质量评估、教学展示活动</w:t>
            </w:r>
          </w:p>
        </w:tc>
        <w:tc>
          <w:tcPr>
            <w:tcW w:w="2042" w:type="dxa"/>
            <w:shd w:val="clear" w:color="auto" w:fill="auto"/>
            <w:vAlign w:val="center"/>
          </w:tcPr>
          <w:p>
            <w:pPr>
              <w:jc w:val="center"/>
              <w:rPr>
                <w:sz w:val="18"/>
                <w:szCs w:val="18"/>
              </w:rPr>
            </w:pPr>
            <w:r>
              <w:rPr>
                <w:rFonts w:hint="eastAsia"/>
                <w:sz w:val="18"/>
                <w:szCs w:val="18"/>
              </w:rPr>
              <w:t>≤47</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restart"/>
            <w:shd w:val="clear" w:color="auto" w:fill="auto"/>
            <w:vAlign w:val="center"/>
          </w:tcPr>
          <w:p>
            <w:pPr>
              <w:jc w:val="center"/>
              <w:rPr>
                <w:sz w:val="18"/>
                <w:szCs w:val="18"/>
              </w:rPr>
            </w:pPr>
            <w:r>
              <w:rPr>
                <w:rFonts w:hint="eastAsia"/>
                <w:sz w:val="18"/>
                <w:szCs w:val="18"/>
              </w:rPr>
              <w:t>质量指标</w:t>
            </w:r>
          </w:p>
        </w:tc>
        <w:tc>
          <w:tcPr>
            <w:tcW w:w="4252" w:type="dxa"/>
            <w:gridSpan w:val="3"/>
            <w:shd w:val="clear" w:color="auto" w:fill="auto"/>
            <w:vAlign w:val="center"/>
          </w:tcPr>
          <w:p>
            <w:pPr>
              <w:jc w:val="left"/>
              <w:rPr>
                <w:sz w:val="18"/>
                <w:szCs w:val="18"/>
              </w:rPr>
            </w:pPr>
            <w:r>
              <w:rPr>
                <w:rFonts w:hint="eastAsia"/>
                <w:sz w:val="18"/>
                <w:szCs w:val="18"/>
              </w:rPr>
              <w:t>评估过程</w:t>
            </w:r>
          </w:p>
        </w:tc>
        <w:tc>
          <w:tcPr>
            <w:tcW w:w="2042" w:type="dxa"/>
            <w:shd w:val="clear" w:color="auto" w:fill="auto"/>
            <w:vAlign w:val="center"/>
          </w:tcPr>
          <w:p>
            <w:pPr>
              <w:jc w:val="center"/>
              <w:rPr>
                <w:sz w:val="18"/>
                <w:szCs w:val="18"/>
              </w:rPr>
            </w:pPr>
            <w:r>
              <w:rPr>
                <w:rFonts w:hint="eastAsia"/>
                <w:sz w:val="18"/>
                <w:szCs w:val="18"/>
              </w:rPr>
              <w:t>客观公正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restart"/>
            <w:shd w:val="clear" w:color="auto" w:fill="auto"/>
            <w:vAlign w:val="center"/>
          </w:tcPr>
          <w:p>
            <w:pPr>
              <w:jc w:val="center"/>
              <w:rPr>
                <w:sz w:val="18"/>
                <w:szCs w:val="18"/>
              </w:rPr>
            </w:pPr>
            <w:r>
              <w:rPr>
                <w:rFonts w:hint="eastAsia"/>
                <w:sz w:val="18"/>
                <w:szCs w:val="18"/>
              </w:rPr>
              <w:t>时效指标</w:t>
            </w:r>
          </w:p>
        </w:tc>
        <w:tc>
          <w:tcPr>
            <w:tcW w:w="4252" w:type="dxa"/>
            <w:gridSpan w:val="3"/>
            <w:shd w:val="clear" w:color="auto" w:fill="auto"/>
            <w:vAlign w:val="center"/>
          </w:tcPr>
          <w:p>
            <w:pPr>
              <w:jc w:val="left"/>
              <w:rPr>
                <w:sz w:val="18"/>
                <w:szCs w:val="18"/>
              </w:rPr>
            </w:pPr>
            <w:r>
              <w:rPr>
                <w:rFonts w:hint="eastAsia"/>
                <w:sz w:val="18"/>
                <w:szCs w:val="18"/>
              </w:rPr>
              <w:t>评估结果</w:t>
            </w:r>
          </w:p>
        </w:tc>
        <w:tc>
          <w:tcPr>
            <w:tcW w:w="2042" w:type="dxa"/>
            <w:shd w:val="clear" w:color="auto" w:fill="auto"/>
            <w:vAlign w:val="center"/>
          </w:tcPr>
          <w:p>
            <w:pPr>
              <w:jc w:val="center"/>
              <w:rPr>
                <w:sz w:val="18"/>
                <w:szCs w:val="18"/>
              </w:rPr>
            </w:pPr>
            <w:r>
              <w:rPr>
                <w:rFonts w:hint="eastAsia"/>
                <w:sz w:val="18"/>
                <w:szCs w:val="18"/>
              </w:rPr>
              <w:t>及时准确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restart"/>
            <w:shd w:val="clear" w:color="auto" w:fill="auto"/>
            <w:vAlign w:val="center"/>
          </w:tcPr>
          <w:p>
            <w:pPr>
              <w:jc w:val="center"/>
              <w:rPr>
                <w:sz w:val="18"/>
                <w:szCs w:val="18"/>
              </w:rPr>
            </w:pPr>
            <w:r>
              <w:rPr>
                <w:rFonts w:hint="eastAsia"/>
                <w:sz w:val="18"/>
                <w:szCs w:val="18"/>
              </w:rPr>
              <w:t>效益指标</w:t>
            </w:r>
          </w:p>
        </w:tc>
        <w:tc>
          <w:tcPr>
            <w:tcW w:w="1701" w:type="dxa"/>
            <w:vMerge w:val="restart"/>
            <w:shd w:val="clear" w:color="auto" w:fill="auto"/>
            <w:vAlign w:val="center"/>
          </w:tcPr>
          <w:p>
            <w:pPr>
              <w:jc w:val="center"/>
              <w:rPr>
                <w:sz w:val="18"/>
                <w:szCs w:val="18"/>
              </w:rPr>
            </w:pPr>
            <w:r>
              <w:rPr>
                <w:rFonts w:hint="eastAsia"/>
                <w:sz w:val="18"/>
                <w:szCs w:val="18"/>
              </w:rPr>
              <w:t>经济效益指标</w:t>
            </w:r>
          </w:p>
        </w:tc>
        <w:tc>
          <w:tcPr>
            <w:tcW w:w="4252" w:type="dxa"/>
            <w:gridSpan w:val="3"/>
            <w:shd w:val="clear" w:color="auto" w:fill="auto"/>
            <w:vAlign w:val="center"/>
          </w:tcPr>
          <w:p>
            <w:pPr>
              <w:jc w:val="left"/>
              <w:rPr>
                <w:sz w:val="18"/>
                <w:szCs w:val="18"/>
              </w:rPr>
            </w:pPr>
            <w:r>
              <w:rPr>
                <w:rFonts w:hint="eastAsia"/>
                <w:sz w:val="18"/>
                <w:szCs w:val="18"/>
              </w:rPr>
              <w:t>预算执行率</w:t>
            </w:r>
          </w:p>
        </w:tc>
        <w:tc>
          <w:tcPr>
            <w:tcW w:w="2042" w:type="dxa"/>
            <w:shd w:val="clear" w:color="auto" w:fill="auto"/>
            <w:vAlign w:val="center"/>
          </w:tcPr>
          <w:p>
            <w:pPr>
              <w:jc w:val="center"/>
              <w:rPr>
                <w:sz w:val="18"/>
                <w:szCs w:val="18"/>
              </w:rPr>
            </w:pPr>
            <w:r>
              <w:rPr>
                <w:rFonts w:hint="eastAsia"/>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restart"/>
            <w:shd w:val="clear" w:color="auto" w:fill="auto"/>
            <w:vAlign w:val="center"/>
          </w:tcPr>
          <w:p>
            <w:pPr>
              <w:jc w:val="center"/>
              <w:rPr>
                <w:sz w:val="18"/>
                <w:szCs w:val="18"/>
              </w:rPr>
            </w:pPr>
            <w:r>
              <w:rPr>
                <w:rFonts w:hint="eastAsia"/>
                <w:sz w:val="18"/>
                <w:szCs w:val="18"/>
              </w:rPr>
              <w:t>社会效益指标</w:t>
            </w:r>
          </w:p>
        </w:tc>
        <w:tc>
          <w:tcPr>
            <w:tcW w:w="4252" w:type="dxa"/>
            <w:gridSpan w:val="3"/>
            <w:shd w:val="clear" w:color="auto" w:fill="auto"/>
            <w:vAlign w:val="center"/>
          </w:tcPr>
          <w:p>
            <w:pPr>
              <w:jc w:val="left"/>
              <w:rPr>
                <w:sz w:val="18"/>
                <w:szCs w:val="18"/>
              </w:rPr>
            </w:pPr>
            <w:r>
              <w:rPr>
                <w:rFonts w:hint="eastAsia"/>
                <w:sz w:val="18"/>
                <w:szCs w:val="18"/>
              </w:rPr>
              <w:t>特教老师专业能力</w:t>
            </w:r>
          </w:p>
        </w:tc>
        <w:tc>
          <w:tcPr>
            <w:tcW w:w="2042" w:type="dxa"/>
            <w:shd w:val="clear" w:color="auto" w:fill="auto"/>
            <w:vAlign w:val="center"/>
          </w:tcPr>
          <w:p>
            <w:pPr>
              <w:jc w:val="center"/>
              <w:rPr>
                <w:sz w:val="18"/>
                <w:szCs w:val="18"/>
              </w:rPr>
            </w:pPr>
            <w:r>
              <w:rPr>
                <w:rFonts w:hint="eastAsia"/>
                <w:sz w:val="18"/>
                <w:szCs w:val="18"/>
              </w:rPr>
              <w:t>促进、提升</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restart"/>
            <w:shd w:val="clear" w:color="auto" w:fill="auto"/>
            <w:vAlign w:val="center"/>
          </w:tcPr>
          <w:p>
            <w:pPr>
              <w:jc w:val="center"/>
              <w:rPr>
                <w:sz w:val="18"/>
                <w:szCs w:val="18"/>
              </w:rPr>
            </w:pPr>
            <w:r>
              <w:rPr>
                <w:rFonts w:hint="eastAsia"/>
                <w:sz w:val="18"/>
                <w:szCs w:val="18"/>
              </w:rPr>
              <w:t>生态效益指标</w:t>
            </w:r>
          </w:p>
        </w:tc>
        <w:tc>
          <w:tcPr>
            <w:tcW w:w="4252" w:type="dxa"/>
            <w:gridSpan w:val="3"/>
            <w:shd w:val="clear" w:color="auto" w:fill="auto"/>
            <w:vAlign w:val="center"/>
          </w:tcPr>
          <w:p>
            <w:pPr>
              <w:jc w:val="left"/>
              <w:rPr>
                <w:sz w:val="18"/>
                <w:szCs w:val="18"/>
              </w:rPr>
            </w:pPr>
            <w:r>
              <w:rPr>
                <w:rFonts w:hint="eastAsia"/>
                <w:sz w:val="18"/>
                <w:szCs w:val="18"/>
              </w:rPr>
              <w:t>无生态效益</w:t>
            </w:r>
          </w:p>
        </w:tc>
        <w:tc>
          <w:tcPr>
            <w:tcW w:w="2042" w:type="dxa"/>
            <w:shd w:val="clear" w:color="auto" w:fill="auto"/>
            <w:vAlign w:val="center"/>
          </w:tcPr>
          <w:p>
            <w:pPr>
              <w:jc w:val="center"/>
              <w:rPr>
                <w:sz w:val="18"/>
                <w:szCs w:val="18"/>
              </w:rPr>
            </w:pPr>
            <w:r>
              <w:rPr>
                <w:rFonts w:hint="eastAsia"/>
                <w:sz w:val="18"/>
                <w:szCs w:val="18"/>
              </w:rPr>
              <w:t>不涉及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restart"/>
            <w:shd w:val="clear" w:color="auto" w:fill="auto"/>
            <w:vAlign w:val="center"/>
          </w:tcPr>
          <w:p>
            <w:pPr>
              <w:jc w:val="center"/>
              <w:rPr>
                <w:sz w:val="18"/>
                <w:szCs w:val="18"/>
              </w:rPr>
            </w:pPr>
            <w:r>
              <w:rPr>
                <w:rFonts w:hint="eastAsia"/>
                <w:sz w:val="18"/>
                <w:szCs w:val="18"/>
              </w:rPr>
              <w:t>满意度指标</w:t>
            </w:r>
          </w:p>
        </w:tc>
        <w:tc>
          <w:tcPr>
            <w:tcW w:w="1701" w:type="dxa"/>
            <w:vMerge w:val="restart"/>
            <w:shd w:val="clear" w:color="auto" w:fill="auto"/>
            <w:vAlign w:val="center"/>
          </w:tcPr>
          <w:p>
            <w:pPr>
              <w:jc w:val="center"/>
              <w:rPr>
                <w:sz w:val="18"/>
                <w:szCs w:val="18"/>
              </w:rPr>
            </w:pPr>
            <w:r>
              <w:rPr>
                <w:rFonts w:hint="eastAsia"/>
                <w:sz w:val="18"/>
                <w:szCs w:val="18"/>
              </w:rPr>
              <w:t>服务对象满意度指标</w:t>
            </w:r>
          </w:p>
        </w:tc>
        <w:tc>
          <w:tcPr>
            <w:tcW w:w="4252" w:type="dxa"/>
            <w:gridSpan w:val="3"/>
            <w:shd w:val="clear" w:color="auto" w:fill="auto"/>
            <w:vAlign w:val="center"/>
          </w:tcPr>
          <w:p>
            <w:pPr>
              <w:jc w:val="left"/>
              <w:rPr>
                <w:sz w:val="18"/>
                <w:szCs w:val="18"/>
              </w:rPr>
            </w:pPr>
            <w:r>
              <w:rPr>
                <w:rFonts w:hint="eastAsia"/>
                <w:sz w:val="18"/>
                <w:szCs w:val="18"/>
              </w:rPr>
              <w:t>特殊教育师生满意度</w:t>
            </w:r>
          </w:p>
        </w:tc>
        <w:tc>
          <w:tcPr>
            <w:tcW w:w="2042" w:type="dxa"/>
            <w:shd w:val="clear" w:color="auto" w:fill="auto"/>
            <w:vAlign w:val="center"/>
          </w:tcPr>
          <w:p>
            <w:pPr>
              <w:jc w:val="center"/>
              <w:rPr>
                <w:sz w:val="18"/>
                <w:szCs w:val="18"/>
              </w:rPr>
            </w:pPr>
            <w:r>
              <w:rPr>
                <w:rFonts w:hint="eastAsia"/>
                <w:sz w:val="18"/>
                <w:szCs w:val="18"/>
              </w:rPr>
              <w:t>≥90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restart"/>
            <w:shd w:val="clear" w:color="auto" w:fill="auto"/>
            <w:vAlign w:val="center"/>
          </w:tcPr>
          <w:p>
            <w:pPr>
              <w:jc w:val="center"/>
              <w:rPr>
                <w:sz w:val="18"/>
                <w:szCs w:val="18"/>
              </w:rPr>
            </w:pPr>
            <w:r>
              <w:rPr>
                <w:rFonts w:hint="eastAsia"/>
                <w:sz w:val="18"/>
                <w:szCs w:val="18"/>
              </w:rPr>
              <w:t>成本指标</w:t>
            </w:r>
          </w:p>
        </w:tc>
        <w:tc>
          <w:tcPr>
            <w:tcW w:w="1701" w:type="dxa"/>
            <w:vMerge w:val="restart"/>
            <w:shd w:val="clear" w:color="auto" w:fill="auto"/>
            <w:vAlign w:val="center"/>
          </w:tcPr>
          <w:p>
            <w:pPr>
              <w:jc w:val="center"/>
              <w:rPr>
                <w:sz w:val="18"/>
                <w:szCs w:val="18"/>
              </w:rPr>
            </w:pPr>
            <w:r>
              <w:rPr>
                <w:rFonts w:hint="eastAsia"/>
                <w:sz w:val="18"/>
                <w:szCs w:val="18"/>
              </w:rPr>
              <w:t>经济成本指标</w:t>
            </w:r>
          </w:p>
        </w:tc>
        <w:tc>
          <w:tcPr>
            <w:tcW w:w="4252" w:type="dxa"/>
            <w:gridSpan w:val="3"/>
            <w:shd w:val="clear" w:color="auto" w:fill="auto"/>
            <w:vAlign w:val="center"/>
          </w:tcPr>
          <w:p>
            <w:pPr>
              <w:jc w:val="left"/>
              <w:rPr>
                <w:sz w:val="18"/>
                <w:szCs w:val="18"/>
              </w:rPr>
            </w:pPr>
            <w:r>
              <w:rPr>
                <w:rFonts w:hint="eastAsia"/>
                <w:sz w:val="18"/>
                <w:szCs w:val="18"/>
              </w:rPr>
              <w:t>成本控制率</w:t>
            </w:r>
          </w:p>
        </w:tc>
        <w:tc>
          <w:tcPr>
            <w:tcW w:w="2042" w:type="dxa"/>
            <w:shd w:val="clear" w:color="auto" w:fill="auto"/>
            <w:vAlign w:val="center"/>
          </w:tcPr>
          <w:p>
            <w:pPr>
              <w:jc w:val="center"/>
              <w:rPr>
                <w:sz w:val="18"/>
                <w:szCs w:val="18"/>
              </w:rPr>
            </w:pPr>
            <w:r>
              <w:rPr>
                <w:rFonts w:hint="eastAsia"/>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restart"/>
            <w:shd w:val="clear" w:color="auto" w:fill="auto"/>
            <w:vAlign w:val="center"/>
          </w:tcPr>
          <w:p>
            <w:pPr>
              <w:jc w:val="center"/>
              <w:rPr>
                <w:sz w:val="18"/>
                <w:szCs w:val="18"/>
              </w:rPr>
            </w:pPr>
            <w:r>
              <w:rPr>
                <w:rFonts w:hint="eastAsia"/>
                <w:sz w:val="18"/>
                <w:szCs w:val="18"/>
              </w:rPr>
              <w:t>社会成本指标</w:t>
            </w:r>
          </w:p>
        </w:tc>
        <w:tc>
          <w:tcPr>
            <w:tcW w:w="4252" w:type="dxa"/>
            <w:gridSpan w:val="3"/>
            <w:shd w:val="clear" w:color="auto" w:fill="auto"/>
            <w:vAlign w:val="center"/>
          </w:tcPr>
          <w:p>
            <w:pPr>
              <w:jc w:val="left"/>
              <w:rPr>
                <w:sz w:val="18"/>
                <w:szCs w:val="18"/>
              </w:rPr>
            </w:pPr>
            <w:r>
              <w:rPr>
                <w:rFonts w:hint="eastAsia"/>
                <w:sz w:val="18"/>
                <w:szCs w:val="18"/>
              </w:rPr>
              <w:t>无社会成本</w:t>
            </w:r>
          </w:p>
        </w:tc>
        <w:tc>
          <w:tcPr>
            <w:tcW w:w="2042" w:type="dxa"/>
            <w:shd w:val="clear" w:color="auto" w:fill="auto"/>
            <w:vAlign w:val="center"/>
          </w:tcPr>
          <w:p>
            <w:pPr>
              <w:jc w:val="center"/>
              <w:rPr>
                <w:sz w:val="18"/>
                <w:szCs w:val="18"/>
              </w:rPr>
            </w:pPr>
            <w:r>
              <w:rPr>
                <w:rFonts w:hint="eastAsia"/>
                <w:sz w:val="18"/>
                <w:szCs w:val="18"/>
              </w:rPr>
              <w:t>不涉及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shd w:val="clear" w:color="auto" w:fill="auto"/>
            <w:vAlign w:val="center"/>
          </w:tcPr>
          <w:p>
            <w:pPr>
              <w:jc w:val="center"/>
              <w:rPr>
                <w:sz w:val="18"/>
                <w:szCs w:val="18"/>
              </w:rPr>
            </w:pPr>
            <w:r>
              <w:rPr>
                <w:rFonts w:hint="eastAsia"/>
                <w:sz w:val="18"/>
                <w:szCs w:val="18"/>
              </w:rPr>
              <w:t>生态环境成本指标</w:t>
            </w:r>
          </w:p>
        </w:tc>
        <w:tc>
          <w:tcPr>
            <w:tcW w:w="4252" w:type="dxa"/>
            <w:gridSpan w:val="3"/>
            <w:shd w:val="clear" w:color="auto" w:fill="auto"/>
            <w:vAlign w:val="center"/>
          </w:tcPr>
          <w:p>
            <w:pPr>
              <w:jc w:val="left"/>
              <w:rPr>
                <w:sz w:val="18"/>
                <w:szCs w:val="18"/>
              </w:rPr>
            </w:pPr>
            <w:r>
              <w:rPr>
                <w:rFonts w:hint="eastAsia"/>
                <w:sz w:val="18"/>
                <w:szCs w:val="18"/>
              </w:rPr>
              <w:t>无生态环境成本</w:t>
            </w:r>
          </w:p>
        </w:tc>
        <w:tc>
          <w:tcPr>
            <w:tcW w:w="2042" w:type="dxa"/>
            <w:shd w:val="clear" w:color="auto" w:fill="auto"/>
            <w:vAlign w:val="center"/>
          </w:tcPr>
          <w:p>
            <w:pPr>
              <w:jc w:val="center"/>
              <w:rPr>
                <w:sz w:val="18"/>
                <w:szCs w:val="18"/>
              </w:rPr>
            </w:pPr>
            <w:r>
              <w:rPr>
                <w:rFonts w:hint="eastAsia"/>
                <w:sz w:val="18"/>
                <w:szCs w:val="18"/>
              </w:rPr>
              <w:t>不涉及</w:t>
            </w:r>
          </w:p>
        </w:tc>
      </w:tr>
    </w:tbl>
    <w:p>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pPr>
        <w:spacing w:line="560" w:lineRule="exact"/>
        <w:jc w:val="center"/>
        <w:rPr>
          <w:rFonts w:ascii="仿宋" w:eastAsia="仿宋"/>
          <w:b/>
          <w:sz w:val="28"/>
          <w:szCs w:val="28"/>
        </w:rPr>
      </w:pPr>
      <w:r>
        <w:rPr>
          <w:rFonts w:hint="eastAsia" w:ascii="仿宋" w:eastAsia="仿宋"/>
          <w:b/>
          <w:sz w:val="28"/>
          <w:szCs w:val="28"/>
        </w:rPr>
        <w:t>项目支出绩效目标表</w:t>
      </w:r>
    </w:p>
    <w:p>
      <w:pPr>
        <w:spacing w:line="560" w:lineRule="exact"/>
        <w:jc w:val="center"/>
        <w:rPr>
          <w:rFonts w:ascii="仿宋" w:eastAsia="仿宋"/>
          <w:b/>
          <w:sz w:val="24"/>
          <w:szCs w:val="24"/>
        </w:rPr>
      </w:pPr>
      <w:r>
        <w:rPr>
          <w:rFonts w:hint="eastAsia" w:ascii="仿宋" w:eastAsia="仿宋"/>
          <w:b/>
          <w:sz w:val="24"/>
          <w:szCs w:val="24"/>
        </w:rPr>
        <w:t>（2024年度）</w:t>
      </w:r>
    </w:p>
    <w:tbl>
      <w:tblPr>
        <w:tblStyle w:val="8"/>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01"/>
        <w:gridCol w:w="1327"/>
        <w:gridCol w:w="1460"/>
        <w:gridCol w:w="1465"/>
        <w:gridCol w:w="204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shd w:val="clear" w:color="auto" w:fill="auto"/>
            <w:vAlign w:val="center"/>
          </w:tcPr>
          <w:p>
            <w:pPr>
              <w:jc w:val="center"/>
              <w:rPr>
                <w:b/>
                <w:sz w:val="18"/>
                <w:szCs w:val="18"/>
              </w:rPr>
            </w:pPr>
            <w:r>
              <w:rPr>
                <w:rFonts w:hint="eastAsia"/>
                <w:b/>
                <w:sz w:val="18"/>
                <w:szCs w:val="18"/>
              </w:rPr>
              <w:t>项目名称</w:t>
            </w:r>
          </w:p>
        </w:tc>
        <w:tc>
          <w:tcPr>
            <w:tcW w:w="7995" w:type="dxa"/>
            <w:gridSpan w:val="5"/>
            <w:shd w:val="clear" w:color="auto" w:fill="auto"/>
            <w:vAlign w:val="center"/>
          </w:tcPr>
          <w:p>
            <w:pPr>
              <w:jc w:val="center"/>
              <w:rPr>
                <w:sz w:val="18"/>
                <w:szCs w:val="18"/>
              </w:rPr>
            </w:pPr>
            <w:r>
              <w:rPr>
                <w:rFonts w:hint="eastAsia"/>
                <w:sz w:val="18"/>
                <w:szCs w:val="18"/>
              </w:rPr>
              <w:t>校园政治思想宣传工作经费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shd w:val="clear" w:color="auto" w:fill="auto"/>
            <w:vAlign w:val="center"/>
          </w:tcPr>
          <w:p>
            <w:pPr>
              <w:jc w:val="center"/>
              <w:rPr>
                <w:b/>
                <w:sz w:val="18"/>
                <w:szCs w:val="18"/>
              </w:rPr>
            </w:pPr>
            <w:r>
              <w:rPr>
                <w:rFonts w:hint="eastAsia"/>
                <w:b/>
                <w:sz w:val="18"/>
                <w:szCs w:val="18"/>
              </w:rPr>
              <w:t>主管部门及代码</w:t>
            </w:r>
          </w:p>
        </w:tc>
        <w:tc>
          <w:tcPr>
            <w:tcW w:w="3028" w:type="dxa"/>
            <w:gridSpan w:val="2"/>
            <w:shd w:val="clear" w:color="auto" w:fill="auto"/>
            <w:vAlign w:val="center"/>
          </w:tcPr>
          <w:p>
            <w:pPr>
              <w:jc w:val="center"/>
              <w:rPr>
                <w:sz w:val="18"/>
                <w:szCs w:val="18"/>
              </w:rPr>
            </w:pPr>
            <w:r>
              <w:rPr>
                <w:rFonts w:ascii="宋体" w:cs="宋体"/>
                <w:color w:val="000000"/>
                <w:kern w:val="0"/>
                <w:sz w:val="18"/>
                <w:szCs w:val="18"/>
                <w:highlight w:val="white"/>
              </w:rPr>
              <w:t>303-甘肃省教育厅</w:t>
            </w:r>
          </w:p>
        </w:tc>
        <w:tc>
          <w:tcPr>
            <w:tcW w:w="1460" w:type="dxa"/>
            <w:shd w:val="clear" w:color="auto" w:fill="auto"/>
            <w:vAlign w:val="center"/>
          </w:tcPr>
          <w:p>
            <w:pPr>
              <w:jc w:val="center"/>
              <w:rPr>
                <w:b/>
                <w:sz w:val="18"/>
                <w:szCs w:val="18"/>
              </w:rPr>
            </w:pPr>
            <w:r>
              <w:rPr>
                <w:rFonts w:hint="eastAsia"/>
                <w:b/>
                <w:sz w:val="18"/>
                <w:szCs w:val="18"/>
              </w:rPr>
              <w:t>实施单位</w:t>
            </w:r>
          </w:p>
        </w:tc>
        <w:tc>
          <w:tcPr>
            <w:tcW w:w="3507" w:type="dxa"/>
            <w:gridSpan w:val="2"/>
            <w:shd w:val="clear" w:color="auto" w:fill="auto"/>
            <w:vAlign w:val="center"/>
          </w:tcPr>
          <w:p>
            <w:pPr>
              <w:jc w:val="center"/>
              <w:rPr>
                <w:sz w:val="18"/>
                <w:szCs w:val="18"/>
              </w:rPr>
            </w:pPr>
            <w:r>
              <w:rPr>
                <w:rFonts w:ascii="宋体" w:cs="宋体"/>
                <w:color w:val="000000"/>
                <w:kern w:val="0"/>
                <w:sz w:val="18"/>
                <w:szCs w:val="18"/>
                <w:highlight w:val="white"/>
              </w:rPr>
              <w:t>甘肃省教育科学研究院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vMerge w:val="restart"/>
            <w:shd w:val="clear" w:color="auto" w:fill="auto"/>
            <w:vAlign w:val="center"/>
          </w:tcPr>
          <w:p>
            <w:pPr>
              <w:jc w:val="center"/>
              <w:rPr>
                <w:b/>
                <w:sz w:val="18"/>
                <w:szCs w:val="18"/>
              </w:rPr>
            </w:pPr>
            <w:r>
              <w:rPr>
                <w:rFonts w:hint="eastAsia"/>
                <w:b/>
                <w:sz w:val="18"/>
                <w:szCs w:val="18"/>
              </w:rPr>
              <w:t>项目金额</w:t>
            </w:r>
          </w:p>
        </w:tc>
        <w:tc>
          <w:tcPr>
            <w:tcW w:w="3028" w:type="dxa"/>
            <w:gridSpan w:val="2"/>
            <w:shd w:val="clear" w:color="auto" w:fill="auto"/>
            <w:vAlign w:val="center"/>
          </w:tcPr>
          <w:p>
            <w:pPr>
              <w:jc w:val="left"/>
              <w:rPr>
                <w:b/>
                <w:sz w:val="18"/>
                <w:szCs w:val="18"/>
              </w:rPr>
            </w:pPr>
            <w:r>
              <w:rPr>
                <w:rFonts w:hint="eastAsia"/>
                <w:b/>
                <w:sz w:val="18"/>
                <w:szCs w:val="18"/>
              </w:rPr>
              <w:t>年度资金总额：</w:t>
            </w:r>
          </w:p>
        </w:tc>
        <w:tc>
          <w:tcPr>
            <w:tcW w:w="4967" w:type="dxa"/>
            <w:gridSpan w:val="3"/>
            <w:shd w:val="clear" w:color="auto" w:fill="auto"/>
            <w:vAlign w:val="center"/>
          </w:tcPr>
          <w:p>
            <w:pPr>
              <w:jc w:val="center"/>
              <w:rPr>
                <w:sz w:val="18"/>
                <w:szCs w:val="18"/>
              </w:rPr>
            </w:pPr>
            <w:r>
              <w:rPr>
                <w:rFonts w:hint="eastAsia"/>
                <w:sz w:val="18"/>
                <w:szCs w:val="18"/>
              </w:rPr>
              <w:t>10.00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vMerge w:val="continue"/>
            <w:shd w:val="clear" w:color="auto" w:fill="auto"/>
            <w:vAlign w:val="center"/>
          </w:tcPr>
          <w:p>
            <w:pPr>
              <w:jc w:val="center"/>
              <w:rPr>
                <w:b/>
                <w:sz w:val="18"/>
                <w:szCs w:val="18"/>
              </w:rPr>
            </w:pPr>
          </w:p>
        </w:tc>
        <w:tc>
          <w:tcPr>
            <w:tcW w:w="3028" w:type="dxa"/>
            <w:gridSpan w:val="2"/>
            <w:shd w:val="clear" w:color="auto" w:fill="auto"/>
            <w:vAlign w:val="center"/>
          </w:tcPr>
          <w:p>
            <w:pPr>
              <w:jc w:val="left"/>
              <w:rPr>
                <w:b/>
                <w:sz w:val="18"/>
                <w:szCs w:val="18"/>
              </w:rPr>
            </w:pPr>
            <w:r>
              <w:rPr>
                <w:rFonts w:hint="eastAsia"/>
                <w:b/>
                <w:sz w:val="18"/>
                <w:szCs w:val="18"/>
              </w:rPr>
              <w:t xml:space="preserve">    其中：当年财政拨款</w:t>
            </w:r>
          </w:p>
        </w:tc>
        <w:tc>
          <w:tcPr>
            <w:tcW w:w="4967" w:type="dxa"/>
            <w:gridSpan w:val="3"/>
            <w:shd w:val="clear" w:color="auto" w:fill="auto"/>
            <w:vAlign w:val="center"/>
          </w:tcPr>
          <w:p>
            <w:pPr>
              <w:jc w:val="center"/>
              <w:rPr>
                <w:sz w:val="18"/>
                <w:szCs w:val="18"/>
              </w:rPr>
            </w:pPr>
            <w:r>
              <w:rPr>
                <w:rFonts w:ascii="宋体" w:cs="宋体"/>
                <w:color w:val="000000"/>
                <w:kern w:val="0"/>
                <w:sz w:val="18"/>
                <w:szCs w:val="18"/>
                <w:highlight w:val="white"/>
              </w:rPr>
              <w:t>10.00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vMerge w:val="continue"/>
            <w:shd w:val="clear" w:color="auto" w:fill="auto"/>
            <w:vAlign w:val="center"/>
          </w:tcPr>
          <w:p>
            <w:pPr>
              <w:jc w:val="center"/>
              <w:rPr>
                <w:b/>
                <w:sz w:val="18"/>
                <w:szCs w:val="18"/>
              </w:rPr>
            </w:pPr>
          </w:p>
        </w:tc>
        <w:tc>
          <w:tcPr>
            <w:tcW w:w="3028" w:type="dxa"/>
            <w:gridSpan w:val="2"/>
            <w:shd w:val="clear" w:color="auto" w:fill="auto"/>
            <w:vAlign w:val="center"/>
          </w:tcPr>
          <w:p>
            <w:pPr>
              <w:jc w:val="left"/>
              <w:rPr>
                <w:b/>
                <w:sz w:val="18"/>
                <w:szCs w:val="18"/>
              </w:rPr>
            </w:pPr>
            <w:r>
              <w:rPr>
                <w:rFonts w:hint="eastAsia"/>
                <w:b/>
                <w:sz w:val="18"/>
                <w:szCs w:val="18"/>
              </w:rPr>
              <w:t xml:space="preserve">           上年结转资金</w:t>
            </w:r>
          </w:p>
        </w:tc>
        <w:tc>
          <w:tcPr>
            <w:tcW w:w="4967" w:type="dxa"/>
            <w:gridSpan w:val="3"/>
            <w:shd w:val="clear" w:color="auto" w:fill="auto"/>
            <w:vAlign w:val="center"/>
          </w:tcPr>
          <w:p>
            <w:pPr>
              <w:jc w:val="center"/>
              <w:rPr>
                <w:sz w:val="18"/>
                <w:szCs w:val="18"/>
              </w:rPr>
            </w:pPr>
            <w:r>
              <w:rPr>
                <w:rFonts w:ascii="宋体" w:cs="宋体"/>
                <w:color w:val="000000"/>
                <w:kern w:val="0"/>
                <w:sz w:val="18"/>
                <w:szCs w:val="18"/>
                <w:highlight w:val="white"/>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vMerge w:val="continue"/>
            <w:shd w:val="clear" w:color="auto" w:fill="auto"/>
            <w:vAlign w:val="center"/>
          </w:tcPr>
          <w:p>
            <w:pPr>
              <w:jc w:val="center"/>
              <w:rPr>
                <w:b/>
                <w:sz w:val="18"/>
                <w:szCs w:val="18"/>
              </w:rPr>
            </w:pPr>
          </w:p>
        </w:tc>
        <w:tc>
          <w:tcPr>
            <w:tcW w:w="3028" w:type="dxa"/>
            <w:gridSpan w:val="2"/>
            <w:shd w:val="clear" w:color="auto" w:fill="auto"/>
            <w:vAlign w:val="center"/>
          </w:tcPr>
          <w:p>
            <w:pPr>
              <w:jc w:val="left"/>
              <w:rPr>
                <w:b/>
                <w:sz w:val="18"/>
                <w:szCs w:val="18"/>
              </w:rPr>
            </w:pPr>
            <w:r>
              <w:rPr>
                <w:rFonts w:hint="eastAsia"/>
                <w:b/>
                <w:sz w:val="18"/>
                <w:szCs w:val="18"/>
              </w:rPr>
              <w:t xml:space="preserve">            其他资金</w:t>
            </w:r>
          </w:p>
        </w:tc>
        <w:tc>
          <w:tcPr>
            <w:tcW w:w="4967" w:type="dxa"/>
            <w:gridSpan w:val="3"/>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trPr>
        <w:tc>
          <w:tcPr>
            <w:tcW w:w="1526" w:type="dxa"/>
            <w:shd w:val="clear" w:color="auto" w:fill="auto"/>
            <w:vAlign w:val="center"/>
          </w:tcPr>
          <w:p>
            <w:pPr>
              <w:jc w:val="center"/>
              <w:rPr>
                <w:b/>
                <w:sz w:val="18"/>
                <w:szCs w:val="18"/>
              </w:rPr>
            </w:pPr>
            <w:r>
              <w:rPr>
                <w:rFonts w:hint="eastAsia"/>
                <w:b/>
                <w:sz w:val="18"/>
                <w:szCs w:val="18"/>
              </w:rPr>
              <w:t>总体目标</w:t>
            </w:r>
          </w:p>
        </w:tc>
        <w:tc>
          <w:tcPr>
            <w:tcW w:w="7995" w:type="dxa"/>
            <w:gridSpan w:val="5"/>
            <w:shd w:val="clear" w:color="auto" w:fill="auto"/>
            <w:vAlign w:val="center"/>
          </w:tcPr>
          <w:p>
            <w:pPr>
              <w:rPr>
                <w:b/>
                <w:sz w:val="18"/>
                <w:szCs w:val="18"/>
              </w:rPr>
            </w:pPr>
            <w:r>
              <w:rPr>
                <w:rFonts w:hint="eastAsia"/>
                <w:color w:val="000000"/>
                <w:sz w:val="18"/>
                <w:szCs w:val="18"/>
              </w:rPr>
              <w:t>1.形成德育工作评审过程性资料；2.总结提炼典型经验，生成典型案例文本；3.充分开展交流汇报，引领全省中小学德育工作发展；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shd w:val="clear" w:color="auto" w:fill="auto"/>
            <w:vAlign w:val="center"/>
          </w:tcPr>
          <w:p>
            <w:pPr>
              <w:jc w:val="center"/>
              <w:rPr>
                <w:b/>
                <w:sz w:val="18"/>
                <w:szCs w:val="18"/>
              </w:rPr>
            </w:pPr>
            <w:r>
              <w:rPr>
                <w:rFonts w:hint="eastAsia"/>
                <w:b/>
                <w:sz w:val="18"/>
                <w:szCs w:val="18"/>
              </w:rPr>
              <w:t>一级指标</w:t>
            </w:r>
          </w:p>
        </w:tc>
        <w:tc>
          <w:tcPr>
            <w:tcW w:w="1701" w:type="dxa"/>
            <w:shd w:val="clear" w:color="auto" w:fill="auto"/>
            <w:vAlign w:val="center"/>
          </w:tcPr>
          <w:p>
            <w:pPr>
              <w:jc w:val="center"/>
              <w:rPr>
                <w:b/>
                <w:sz w:val="18"/>
                <w:szCs w:val="18"/>
              </w:rPr>
            </w:pPr>
            <w:r>
              <w:rPr>
                <w:rFonts w:hint="eastAsia"/>
                <w:b/>
                <w:sz w:val="18"/>
                <w:szCs w:val="18"/>
              </w:rPr>
              <w:t>二级指标</w:t>
            </w:r>
          </w:p>
        </w:tc>
        <w:tc>
          <w:tcPr>
            <w:tcW w:w="4252" w:type="dxa"/>
            <w:gridSpan w:val="3"/>
            <w:shd w:val="clear" w:color="auto" w:fill="auto"/>
            <w:vAlign w:val="center"/>
          </w:tcPr>
          <w:p>
            <w:pPr>
              <w:jc w:val="center"/>
              <w:rPr>
                <w:b/>
                <w:sz w:val="18"/>
                <w:szCs w:val="18"/>
              </w:rPr>
            </w:pPr>
            <w:r>
              <w:rPr>
                <w:rFonts w:hint="eastAsia"/>
                <w:b/>
                <w:sz w:val="18"/>
                <w:szCs w:val="18"/>
              </w:rPr>
              <w:t>三级指标</w:t>
            </w:r>
          </w:p>
        </w:tc>
        <w:tc>
          <w:tcPr>
            <w:tcW w:w="2042" w:type="dxa"/>
            <w:shd w:val="clear" w:color="auto" w:fill="auto"/>
            <w:vAlign w:val="center"/>
          </w:tcPr>
          <w:p>
            <w:pPr>
              <w:jc w:val="center"/>
              <w:rPr>
                <w:b/>
                <w:sz w:val="18"/>
                <w:szCs w:val="18"/>
              </w:rPr>
            </w:pPr>
            <w:r>
              <w:rPr>
                <w:rFonts w:hint="eastAsia"/>
                <w:b/>
                <w:sz w:val="18"/>
                <w:szCs w:val="18"/>
              </w:rPr>
              <w:t>指标目标值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restart"/>
            <w:shd w:val="clear" w:color="auto" w:fill="auto"/>
            <w:vAlign w:val="center"/>
          </w:tcPr>
          <w:p>
            <w:pPr>
              <w:jc w:val="center"/>
              <w:rPr>
                <w:sz w:val="18"/>
                <w:szCs w:val="18"/>
              </w:rPr>
            </w:pPr>
            <w:r>
              <w:rPr>
                <w:rFonts w:hint="eastAsia"/>
                <w:sz w:val="18"/>
                <w:szCs w:val="18"/>
              </w:rPr>
              <w:t>产出指标</w:t>
            </w:r>
          </w:p>
        </w:tc>
        <w:tc>
          <w:tcPr>
            <w:tcW w:w="1701" w:type="dxa"/>
            <w:vMerge w:val="restart"/>
            <w:shd w:val="clear" w:color="auto" w:fill="auto"/>
            <w:vAlign w:val="center"/>
          </w:tcPr>
          <w:p>
            <w:pPr>
              <w:jc w:val="center"/>
              <w:rPr>
                <w:sz w:val="18"/>
                <w:szCs w:val="18"/>
              </w:rPr>
            </w:pPr>
            <w:r>
              <w:rPr>
                <w:rFonts w:hint="eastAsia"/>
                <w:sz w:val="18"/>
                <w:szCs w:val="18"/>
              </w:rPr>
              <w:t>数量指标</w:t>
            </w:r>
          </w:p>
        </w:tc>
        <w:tc>
          <w:tcPr>
            <w:tcW w:w="4252" w:type="dxa"/>
            <w:gridSpan w:val="3"/>
            <w:shd w:val="clear" w:color="auto" w:fill="auto"/>
            <w:vAlign w:val="center"/>
          </w:tcPr>
          <w:p>
            <w:pPr>
              <w:jc w:val="left"/>
              <w:rPr>
                <w:sz w:val="18"/>
                <w:szCs w:val="18"/>
              </w:rPr>
            </w:pPr>
            <w:r>
              <w:rPr>
                <w:rFonts w:hint="eastAsia"/>
                <w:sz w:val="18"/>
                <w:szCs w:val="18"/>
              </w:rPr>
              <w:t>思政人员培训</w:t>
            </w:r>
          </w:p>
        </w:tc>
        <w:tc>
          <w:tcPr>
            <w:tcW w:w="2042" w:type="dxa"/>
            <w:shd w:val="clear" w:color="auto" w:fill="auto"/>
            <w:vAlign w:val="center"/>
          </w:tcPr>
          <w:p>
            <w:pPr>
              <w:jc w:val="center"/>
              <w:rPr>
                <w:sz w:val="18"/>
                <w:szCs w:val="18"/>
              </w:rPr>
            </w:pPr>
            <w:r>
              <w:rPr>
                <w:rFonts w:hint="eastAsia"/>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continue"/>
            <w:shd w:val="clear" w:color="auto" w:fill="auto"/>
            <w:vAlign w:val="center"/>
          </w:tcPr>
          <w:p>
            <w:pPr>
              <w:jc w:val="center"/>
              <w:rPr>
                <w:sz w:val="18"/>
                <w:szCs w:val="18"/>
              </w:rPr>
            </w:pPr>
          </w:p>
        </w:tc>
        <w:tc>
          <w:tcPr>
            <w:tcW w:w="4252" w:type="dxa"/>
            <w:gridSpan w:val="3"/>
            <w:shd w:val="clear" w:color="auto" w:fill="auto"/>
            <w:vAlign w:val="center"/>
          </w:tcPr>
          <w:p>
            <w:pPr>
              <w:jc w:val="left"/>
              <w:rPr>
                <w:sz w:val="18"/>
                <w:szCs w:val="18"/>
              </w:rPr>
            </w:pPr>
            <w:r>
              <w:rPr>
                <w:rFonts w:hint="eastAsia"/>
                <w:sz w:val="18"/>
                <w:szCs w:val="18"/>
              </w:rPr>
              <w:t>六星校认定</w:t>
            </w:r>
          </w:p>
        </w:tc>
        <w:tc>
          <w:tcPr>
            <w:tcW w:w="2042" w:type="dxa"/>
            <w:shd w:val="clear" w:color="auto" w:fill="auto"/>
            <w:vAlign w:val="center"/>
          </w:tcPr>
          <w:p>
            <w:pPr>
              <w:jc w:val="center"/>
              <w:rPr>
                <w:sz w:val="18"/>
                <w:szCs w:val="18"/>
              </w:rPr>
            </w:pPr>
            <w:r>
              <w:rPr>
                <w:rFonts w:hint="eastAsia"/>
                <w:sz w:val="18"/>
                <w:szCs w:val="18"/>
              </w:rPr>
              <w:t>≤60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restart"/>
            <w:shd w:val="clear" w:color="auto" w:fill="auto"/>
            <w:vAlign w:val="center"/>
          </w:tcPr>
          <w:p>
            <w:pPr>
              <w:jc w:val="center"/>
              <w:rPr>
                <w:sz w:val="18"/>
                <w:szCs w:val="18"/>
              </w:rPr>
            </w:pPr>
            <w:r>
              <w:rPr>
                <w:rFonts w:hint="eastAsia"/>
                <w:sz w:val="18"/>
                <w:szCs w:val="18"/>
              </w:rPr>
              <w:t>质量指标</w:t>
            </w:r>
          </w:p>
        </w:tc>
        <w:tc>
          <w:tcPr>
            <w:tcW w:w="4252" w:type="dxa"/>
            <w:gridSpan w:val="3"/>
            <w:shd w:val="clear" w:color="auto" w:fill="auto"/>
            <w:vAlign w:val="center"/>
          </w:tcPr>
          <w:p>
            <w:pPr>
              <w:jc w:val="left"/>
              <w:rPr>
                <w:sz w:val="18"/>
                <w:szCs w:val="18"/>
              </w:rPr>
            </w:pPr>
            <w:r>
              <w:rPr>
                <w:rFonts w:hint="eastAsia"/>
                <w:sz w:val="18"/>
                <w:szCs w:val="18"/>
              </w:rPr>
              <w:t>培训内容</w:t>
            </w:r>
          </w:p>
        </w:tc>
        <w:tc>
          <w:tcPr>
            <w:tcW w:w="2042" w:type="dxa"/>
            <w:shd w:val="clear" w:color="auto" w:fill="auto"/>
            <w:vAlign w:val="center"/>
          </w:tcPr>
          <w:p>
            <w:pPr>
              <w:jc w:val="center"/>
              <w:rPr>
                <w:sz w:val="18"/>
                <w:szCs w:val="18"/>
              </w:rPr>
            </w:pPr>
            <w:r>
              <w:rPr>
                <w:rFonts w:hint="eastAsia"/>
                <w:sz w:val="18"/>
                <w:szCs w:val="18"/>
              </w:rPr>
              <w:t>科学合理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restart"/>
            <w:shd w:val="clear" w:color="auto" w:fill="auto"/>
            <w:vAlign w:val="center"/>
          </w:tcPr>
          <w:p>
            <w:pPr>
              <w:jc w:val="center"/>
              <w:rPr>
                <w:sz w:val="18"/>
                <w:szCs w:val="18"/>
              </w:rPr>
            </w:pPr>
            <w:r>
              <w:rPr>
                <w:rFonts w:hint="eastAsia"/>
                <w:sz w:val="18"/>
                <w:szCs w:val="18"/>
              </w:rPr>
              <w:t>时效指标</w:t>
            </w:r>
          </w:p>
        </w:tc>
        <w:tc>
          <w:tcPr>
            <w:tcW w:w="4252" w:type="dxa"/>
            <w:gridSpan w:val="3"/>
            <w:shd w:val="clear" w:color="auto" w:fill="auto"/>
            <w:vAlign w:val="center"/>
          </w:tcPr>
          <w:p>
            <w:pPr>
              <w:jc w:val="left"/>
              <w:rPr>
                <w:sz w:val="18"/>
                <w:szCs w:val="18"/>
              </w:rPr>
            </w:pPr>
            <w:r>
              <w:rPr>
                <w:rFonts w:hint="eastAsia"/>
                <w:sz w:val="18"/>
                <w:szCs w:val="18"/>
              </w:rPr>
              <w:t>认定结果</w:t>
            </w:r>
          </w:p>
        </w:tc>
        <w:tc>
          <w:tcPr>
            <w:tcW w:w="2042" w:type="dxa"/>
            <w:shd w:val="clear" w:color="auto" w:fill="auto"/>
            <w:vAlign w:val="center"/>
          </w:tcPr>
          <w:p>
            <w:pPr>
              <w:jc w:val="center"/>
              <w:rPr>
                <w:sz w:val="18"/>
                <w:szCs w:val="18"/>
              </w:rPr>
            </w:pPr>
            <w:r>
              <w:rPr>
                <w:rFonts w:hint="eastAsia"/>
                <w:sz w:val="18"/>
                <w:szCs w:val="18"/>
              </w:rPr>
              <w:t>及时、准确</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restart"/>
            <w:shd w:val="clear" w:color="auto" w:fill="auto"/>
            <w:vAlign w:val="center"/>
          </w:tcPr>
          <w:p>
            <w:pPr>
              <w:jc w:val="center"/>
              <w:rPr>
                <w:sz w:val="18"/>
                <w:szCs w:val="18"/>
              </w:rPr>
            </w:pPr>
            <w:r>
              <w:rPr>
                <w:rFonts w:hint="eastAsia"/>
                <w:sz w:val="18"/>
                <w:szCs w:val="18"/>
              </w:rPr>
              <w:t>效益指标</w:t>
            </w:r>
          </w:p>
        </w:tc>
        <w:tc>
          <w:tcPr>
            <w:tcW w:w="1701" w:type="dxa"/>
            <w:vMerge w:val="restart"/>
            <w:shd w:val="clear" w:color="auto" w:fill="auto"/>
            <w:vAlign w:val="center"/>
          </w:tcPr>
          <w:p>
            <w:pPr>
              <w:jc w:val="center"/>
              <w:rPr>
                <w:sz w:val="18"/>
                <w:szCs w:val="18"/>
              </w:rPr>
            </w:pPr>
            <w:r>
              <w:rPr>
                <w:rFonts w:hint="eastAsia"/>
                <w:sz w:val="18"/>
                <w:szCs w:val="18"/>
              </w:rPr>
              <w:t>经济效益指标</w:t>
            </w:r>
          </w:p>
        </w:tc>
        <w:tc>
          <w:tcPr>
            <w:tcW w:w="4252" w:type="dxa"/>
            <w:gridSpan w:val="3"/>
            <w:shd w:val="clear" w:color="auto" w:fill="auto"/>
            <w:vAlign w:val="center"/>
          </w:tcPr>
          <w:p>
            <w:pPr>
              <w:jc w:val="left"/>
              <w:rPr>
                <w:sz w:val="18"/>
                <w:szCs w:val="18"/>
              </w:rPr>
            </w:pPr>
            <w:r>
              <w:rPr>
                <w:rFonts w:hint="eastAsia"/>
                <w:sz w:val="18"/>
                <w:szCs w:val="18"/>
              </w:rPr>
              <w:t>预算执行率</w:t>
            </w:r>
          </w:p>
        </w:tc>
        <w:tc>
          <w:tcPr>
            <w:tcW w:w="2042" w:type="dxa"/>
            <w:shd w:val="clear" w:color="auto" w:fill="auto"/>
            <w:vAlign w:val="center"/>
          </w:tcPr>
          <w:p>
            <w:pPr>
              <w:jc w:val="center"/>
              <w:rPr>
                <w:sz w:val="18"/>
                <w:szCs w:val="18"/>
              </w:rPr>
            </w:pPr>
            <w:r>
              <w:rPr>
                <w:rFonts w:hint="eastAsia"/>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restart"/>
            <w:shd w:val="clear" w:color="auto" w:fill="auto"/>
            <w:vAlign w:val="center"/>
          </w:tcPr>
          <w:p>
            <w:pPr>
              <w:jc w:val="center"/>
              <w:rPr>
                <w:sz w:val="18"/>
                <w:szCs w:val="18"/>
              </w:rPr>
            </w:pPr>
            <w:r>
              <w:rPr>
                <w:rFonts w:hint="eastAsia"/>
                <w:sz w:val="18"/>
                <w:szCs w:val="18"/>
              </w:rPr>
              <w:t>社会效益指标</w:t>
            </w:r>
          </w:p>
        </w:tc>
        <w:tc>
          <w:tcPr>
            <w:tcW w:w="4252" w:type="dxa"/>
            <w:gridSpan w:val="3"/>
            <w:shd w:val="clear" w:color="auto" w:fill="auto"/>
            <w:vAlign w:val="center"/>
          </w:tcPr>
          <w:p>
            <w:pPr>
              <w:jc w:val="left"/>
              <w:rPr>
                <w:sz w:val="18"/>
                <w:szCs w:val="18"/>
              </w:rPr>
            </w:pPr>
            <w:r>
              <w:rPr>
                <w:rFonts w:hint="eastAsia"/>
                <w:sz w:val="18"/>
                <w:szCs w:val="18"/>
              </w:rPr>
              <w:t>典型案例</w:t>
            </w:r>
          </w:p>
        </w:tc>
        <w:tc>
          <w:tcPr>
            <w:tcW w:w="2042" w:type="dxa"/>
            <w:shd w:val="clear" w:color="auto" w:fill="auto"/>
            <w:vAlign w:val="center"/>
          </w:tcPr>
          <w:p>
            <w:pPr>
              <w:jc w:val="center"/>
              <w:rPr>
                <w:sz w:val="18"/>
                <w:szCs w:val="18"/>
              </w:rPr>
            </w:pPr>
            <w:r>
              <w:rPr>
                <w:rFonts w:hint="eastAsia"/>
                <w:sz w:val="18"/>
                <w:szCs w:val="18"/>
              </w:rPr>
              <w:t>推广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continue"/>
            <w:shd w:val="clear" w:color="auto" w:fill="auto"/>
            <w:vAlign w:val="center"/>
          </w:tcPr>
          <w:p>
            <w:pPr>
              <w:jc w:val="center"/>
              <w:rPr>
                <w:sz w:val="18"/>
                <w:szCs w:val="18"/>
              </w:rPr>
            </w:pPr>
          </w:p>
        </w:tc>
        <w:tc>
          <w:tcPr>
            <w:tcW w:w="4252" w:type="dxa"/>
            <w:gridSpan w:val="3"/>
            <w:shd w:val="clear" w:color="auto" w:fill="auto"/>
            <w:vAlign w:val="center"/>
          </w:tcPr>
          <w:p>
            <w:pPr>
              <w:jc w:val="left"/>
              <w:rPr>
                <w:sz w:val="18"/>
                <w:szCs w:val="18"/>
              </w:rPr>
            </w:pPr>
            <w:r>
              <w:rPr>
                <w:rFonts w:hint="eastAsia"/>
                <w:sz w:val="18"/>
                <w:szCs w:val="18"/>
              </w:rPr>
              <w:t>中小学思政工作</w:t>
            </w:r>
          </w:p>
        </w:tc>
        <w:tc>
          <w:tcPr>
            <w:tcW w:w="2042" w:type="dxa"/>
            <w:shd w:val="clear" w:color="auto" w:fill="auto"/>
            <w:vAlign w:val="center"/>
          </w:tcPr>
          <w:p>
            <w:pPr>
              <w:jc w:val="center"/>
              <w:rPr>
                <w:sz w:val="18"/>
                <w:szCs w:val="18"/>
              </w:rPr>
            </w:pPr>
            <w:r>
              <w:rPr>
                <w:rFonts w:hint="eastAsia"/>
                <w:sz w:val="18"/>
                <w:szCs w:val="18"/>
              </w:rPr>
              <w:t>示范、引领</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restart"/>
            <w:shd w:val="clear" w:color="auto" w:fill="auto"/>
            <w:vAlign w:val="center"/>
          </w:tcPr>
          <w:p>
            <w:pPr>
              <w:jc w:val="center"/>
              <w:rPr>
                <w:sz w:val="18"/>
                <w:szCs w:val="18"/>
              </w:rPr>
            </w:pPr>
            <w:r>
              <w:rPr>
                <w:rFonts w:hint="eastAsia"/>
                <w:sz w:val="18"/>
                <w:szCs w:val="18"/>
              </w:rPr>
              <w:t>生态效益指标</w:t>
            </w:r>
          </w:p>
        </w:tc>
        <w:tc>
          <w:tcPr>
            <w:tcW w:w="4252" w:type="dxa"/>
            <w:gridSpan w:val="3"/>
            <w:shd w:val="clear" w:color="auto" w:fill="auto"/>
            <w:vAlign w:val="center"/>
          </w:tcPr>
          <w:p>
            <w:pPr>
              <w:jc w:val="left"/>
              <w:rPr>
                <w:sz w:val="18"/>
                <w:szCs w:val="18"/>
              </w:rPr>
            </w:pPr>
            <w:r>
              <w:rPr>
                <w:rFonts w:hint="eastAsia"/>
                <w:sz w:val="18"/>
                <w:szCs w:val="18"/>
              </w:rPr>
              <w:t>无生态效益</w:t>
            </w:r>
          </w:p>
        </w:tc>
        <w:tc>
          <w:tcPr>
            <w:tcW w:w="2042" w:type="dxa"/>
            <w:shd w:val="clear" w:color="auto" w:fill="auto"/>
            <w:vAlign w:val="center"/>
          </w:tcPr>
          <w:p>
            <w:pPr>
              <w:jc w:val="center"/>
              <w:rPr>
                <w:sz w:val="18"/>
                <w:szCs w:val="18"/>
              </w:rPr>
            </w:pPr>
            <w:r>
              <w:rPr>
                <w:rFonts w:hint="eastAsia"/>
                <w:sz w:val="18"/>
                <w:szCs w:val="18"/>
              </w:rPr>
              <w:t>不涉及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restart"/>
            <w:shd w:val="clear" w:color="auto" w:fill="auto"/>
            <w:vAlign w:val="center"/>
          </w:tcPr>
          <w:p>
            <w:pPr>
              <w:jc w:val="center"/>
              <w:rPr>
                <w:sz w:val="18"/>
                <w:szCs w:val="18"/>
              </w:rPr>
            </w:pPr>
            <w:r>
              <w:rPr>
                <w:rFonts w:hint="eastAsia"/>
                <w:sz w:val="18"/>
                <w:szCs w:val="18"/>
              </w:rPr>
              <w:t>满意度指标</w:t>
            </w:r>
          </w:p>
        </w:tc>
        <w:tc>
          <w:tcPr>
            <w:tcW w:w="1701" w:type="dxa"/>
            <w:vMerge w:val="restart"/>
            <w:shd w:val="clear" w:color="auto" w:fill="auto"/>
            <w:vAlign w:val="center"/>
          </w:tcPr>
          <w:p>
            <w:pPr>
              <w:jc w:val="center"/>
              <w:rPr>
                <w:sz w:val="18"/>
                <w:szCs w:val="18"/>
              </w:rPr>
            </w:pPr>
            <w:r>
              <w:rPr>
                <w:rFonts w:hint="eastAsia"/>
                <w:sz w:val="18"/>
                <w:szCs w:val="18"/>
              </w:rPr>
              <w:t>服务对象满意度指标</w:t>
            </w:r>
          </w:p>
        </w:tc>
        <w:tc>
          <w:tcPr>
            <w:tcW w:w="4252" w:type="dxa"/>
            <w:gridSpan w:val="3"/>
            <w:shd w:val="clear" w:color="auto" w:fill="auto"/>
            <w:vAlign w:val="center"/>
          </w:tcPr>
          <w:p>
            <w:pPr>
              <w:jc w:val="left"/>
              <w:rPr>
                <w:sz w:val="18"/>
                <w:szCs w:val="18"/>
              </w:rPr>
            </w:pPr>
            <w:r>
              <w:rPr>
                <w:rFonts w:hint="eastAsia"/>
                <w:sz w:val="18"/>
                <w:szCs w:val="18"/>
              </w:rPr>
              <w:t>中小学思政工作人员</w:t>
            </w:r>
          </w:p>
        </w:tc>
        <w:tc>
          <w:tcPr>
            <w:tcW w:w="2042" w:type="dxa"/>
            <w:shd w:val="clear" w:color="auto" w:fill="auto"/>
            <w:vAlign w:val="center"/>
          </w:tcPr>
          <w:p>
            <w:pPr>
              <w:jc w:val="center"/>
              <w:rPr>
                <w:sz w:val="18"/>
                <w:szCs w:val="18"/>
              </w:rPr>
            </w:pPr>
            <w:r>
              <w:rPr>
                <w:rFonts w:hint="eastAsia"/>
                <w:sz w:val="18"/>
                <w:szCs w:val="18"/>
              </w:rPr>
              <w:t>≥90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restart"/>
            <w:shd w:val="clear" w:color="auto" w:fill="auto"/>
            <w:vAlign w:val="center"/>
          </w:tcPr>
          <w:p>
            <w:pPr>
              <w:jc w:val="center"/>
              <w:rPr>
                <w:sz w:val="18"/>
                <w:szCs w:val="18"/>
              </w:rPr>
            </w:pPr>
            <w:r>
              <w:rPr>
                <w:rFonts w:hint="eastAsia"/>
                <w:sz w:val="18"/>
                <w:szCs w:val="18"/>
              </w:rPr>
              <w:t>成本指标</w:t>
            </w:r>
          </w:p>
        </w:tc>
        <w:tc>
          <w:tcPr>
            <w:tcW w:w="1701" w:type="dxa"/>
            <w:vMerge w:val="restart"/>
            <w:shd w:val="clear" w:color="auto" w:fill="auto"/>
            <w:vAlign w:val="center"/>
          </w:tcPr>
          <w:p>
            <w:pPr>
              <w:jc w:val="center"/>
              <w:rPr>
                <w:sz w:val="18"/>
                <w:szCs w:val="18"/>
              </w:rPr>
            </w:pPr>
            <w:r>
              <w:rPr>
                <w:rFonts w:hint="eastAsia"/>
                <w:sz w:val="18"/>
                <w:szCs w:val="18"/>
              </w:rPr>
              <w:t>经济成本指标</w:t>
            </w:r>
          </w:p>
        </w:tc>
        <w:tc>
          <w:tcPr>
            <w:tcW w:w="4252" w:type="dxa"/>
            <w:gridSpan w:val="3"/>
            <w:shd w:val="clear" w:color="auto" w:fill="auto"/>
            <w:vAlign w:val="center"/>
          </w:tcPr>
          <w:p>
            <w:pPr>
              <w:jc w:val="left"/>
              <w:rPr>
                <w:sz w:val="18"/>
                <w:szCs w:val="18"/>
              </w:rPr>
            </w:pPr>
            <w:r>
              <w:rPr>
                <w:rFonts w:hint="eastAsia"/>
                <w:sz w:val="18"/>
                <w:szCs w:val="18"/>
              </w:rPr>
              <w:t>成本控制率</w:t>
            </w:r>
          </w:p>
        </w:tc>
        <w:tc>
          <w:tcPr>
            <w:tcW w:w="2042" w:type="dxa"/>
            <w:shd w:val="clear" w:color="auto" w:fill="auto"/>
            <w:vAlign w:val="center"/>
          </w:tcPr>
          <w:p>
            <w:pPr>
              <w:jc w:val="center"/>
              <w:rPr>
                <w:sz w:val="18"/>
                <w:szCs w:val="18"/>
              </w:rPr>
            </w:pPr>
            <w:r>
              <w:rPr>
                <w:rFonts w:hint="eastAsia"/>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restart"/>
            <w:shd w:val="clear" w:color="auto" w:fill="auto"/>
            <w:vAlign w:val="center"/>
          </w:tcPr>
          <w:p>
            <w:pPr>
              <w:jc w:val="center"/>
              <w:rPr>
                <w:sz w:val="18"/>
                <w:szCs w:val="18"/>
              </w:rPr>
            </w:pPr>
            <w:r>
              <w:rPr>
                <w:rFonts w:hint="eastAsia"/>
                <w:sz w:val="18"/>
                <w:szCs w:val="18"/>
              </w:rPr>
              <w:t>社会成本指标</w:t>
            </w:r>
          </w:p>
        </w:tc>
        <w:tc>
          <w:tcPr>
            <w:tcW w:w="4252" w:type="dxa"/>
            <w:gridSpan w:val="3"/>
            <w:shd w:val="clear" w:color="auto" w:fill="auto"/>
            <w:vAlign w:val="center"/>
          </w:tcPr>
          <w:p>
            <w:pPr>
              <w:jc w:val="left"/>
              <w:rPr>
                <w:sz w:val="18"/>
                <w:szCs w:val="18"/>
              </w:rPr>
            </w:pPr>
            <w:r>
              <w:rPr>
                <w:rFonts w:hint="eastAsia"/>
                <w:sz w:val="18"/>
                <w:szCs w:val="18"/>
              </w:rPr>
              <w:t>无社会成本</w:t>
            </w:r>
          </w:p>
        </w:tc>
        <w:tc>
          <w:tcPr>
            <w:tcW w:w="2042" w:type="dxa"/>
            <w:shd w:val="clear" w:color="auto" w:fill="auto"/>
            <w:vAlign w:val="center"/>
          </w:tcPr>
          <w:p>
            <w:pPr>
              <w:jc w:val="center"/>
              <w:rPr>
                <w:sz w:val="18"/>
                <w:szCs w:val="18"/>
              </w:rPr>
            </w:pPr>
            <w:r>
              <w:rPr>
                <w:rFonts w:hint="eastAsia"/>
                <w:sz w:val="18"/>
                <w:szCs w:val="18"/>
              </w:rPr>
              <w:t>不涉及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shd w:val="clear" w:color="auto" w:fill="auto"/>
            <w:vAlign w:val="center"/>
          </w:tcPr>
          <w:p>
            <w:pPr>
              <w:jc w:val="center"/>
              <w:rPr>
                <w:sz w:val="18"/>
                <w:szCs w:val="18"/>
              </w:rPr>
            </w:pPr>
            <w:r>
              <w:rPr>
                <w:rFonts w:hint="eastAsia"/>
                <w:sz w:val="18"/>
                <w:szCs w:val="18"/>
              </w:rPr>
              <w:t>生态环境成本指标</w:t>
            </w:r>
          </w:p>
        </w:tc>
        <w:tc>
          <w:tcPr>
            <w:tcW w:w="4252" w:type="dxa"/>
            <w:gridSpan w:val="3"/>
            <w:shd w:val="clear" w:color="auto" w:fill="auto"/>
            <w:vAlign w:val="center"/>
          </w:tcPr>
          <w:p>
            <w:pPr>
              <w:jc w:val="left"/>
              <w:rPr>
                <w:sz w:val="18"/>
                <w:szCs w:val="18"/>
              </w:rPr>
            </w:pPr>
            <w:r>
              <w:rPr>
                <w:rFonts w:hint="eastAsia"/>
                <w:sz w:val="18"/>
                <w:szCs w:val="18"/>
              </w:rPr>
              <w:t>无生态环境成本</w:t>
            </w:r>
          </w:p>
        </w:tc>
        <w:tc>
          <w:tcPr>
            <w:tcW w:w="2042" w:type="dxa"/>
            <w:shd w:val="clear" w:color="auto" w:fill="auto"/>
            <w:vAlign w:val="center"/>
          </w:tcPr>
          <w:p>
            <w:pPr>
              <w:jc w:val="center"/>
              <w:rPr>
                <w:sz w:val="18"/>
                <w:szCs w:val="18"/>
              </w:rPr>
            </w:pPr>
            <w:r>
              <w:rPr>
                <w:rFonts w:hint="eastAsia"/>
                <w:sz w:val="18"/>
                <w:szCs w:val="18"/>
              </w:rPr>
              <w:t>不涉及</w:t>
            </w:r>
          </w:p>
        </w:tc>
      </w:tr>
    </w:tbl>
    <w:p>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pPr>
        <w:spacing w:line="560" w:lineRule="exact"/>
        <w:jc w:val="center"/>
        <w:rPr>
          <w:rFonts w:ascii="仿宋" w:eastAsia="仿宋"/>
          <w:b/>
          <w:sz w:val="28"/>
          <w:szCs w:val="28"/>
        </w:rPr>
      </w:pPr>
      <w:r>
        <w:rPr>
          <w:rFonts w:hint="eastAsia" w:ascii="仿宋" w:eastAsia="仿宋"/>
          <w:b/>
          <w:sz w:val="28"/>
          <w:szCs w:val="28"/>
        </w:rPr>
        <w:t>项目支出绩效目标表</w:t>
      </w:r>
    </w:p>
    <w:p>
      <w:pPr>
        <w:spacing w:line="560" w:lineRule="exact"/>
        <w:jc w:val="center"/>
        <w:rPr>
          <w:rFonts w:ascii="仿宋" w:eastAsia="仿宋"/>
          <w:b/>
          <w:sz w:val="24"/>
          <w:szCs w:val="24"/>
        </w:rPr>
      </w:pPr>
      <w:r>
        <w:rPr>
          <w:rFonts w:hint="eastAsia" w:ascii="仿宋" w:eastAsia="仿宋"/>
          <w:b/>
          <w:sz w:val="24"/>
          <w:szCs w:val="24"/>
        </w:rPr>
        <w:t>（2024年度）</w:t>
      </w:r>
    </w:p>
    <w:tbl>
      <w:tblPr>
        <w:tblStyle w:val="8"/>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01"/>
        <w:gridCol w:w="1327"/>
        <w:gridCol w:w="1460"/>
        <w:gridCol w:w="1465"/>
        <w:gridCol w:w="204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shd w:val="clear" w:color="auto" w:fill="auto"/>
            <w:vAlign w:val="center"/>
          </w:tcPr>
          <w:p>
            <w:pPr>
              <w:jc w:val="center"/>
              <w:rPr>
                <w:b/>
                <w:sz w:val="18"/>
                <w:szCs w:val="18"/>
              </w:rPr>
            </w:pPr>
            <w:r>
              <w:rPr>
                <w:rFonts w:hint="eastAsia"/>
                <w:b/>
                <w:sz w:val="18"/>
                <w:szCs w:val="18"/>
              </w:rPr>
              <w:t>项目名称</w:t>
            </w:r>
          </w:p>
        </w:tc>
        <w:tc>
          <w:tcPr>
            <w:tcW w:w="7995" w:type="dxa"/>
            <w:gridSpan w:val="5"/>
            <w:shd w:val="clear" w:color="auto" w:fill="auto"/>
            <w:vAlign w:val="center"/>
          </w:tcPr>
          <w:p>
            <w:pPr>
              <w:jc w:val="center"/>
              <w:rPr>
                <w:sz w:val="18"/>
                <w:szCs w:val="18"/>
              </w:rPr>
            </w:pPr>
            <w:r>
              <w:rPr>
                <w:rFonts w:hint="eastAsia"/>
                <w:sz w:val="18"/>
                <w:szCs w:val="18"/>
              </w:rPr>
              <w:t>教育科技创新专项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shd w:val="clear" w:color="auto" w:fill="auto"/>
            <w:vAlign w:val="center"/>
          </w:tcPr>
          <w:p>
            <w:pPr>
              <w:jc w:val="center"/>
              <w:rPr>
                <w:b/>
                <w:sz w:val="18"/>
                <w:szCs w:val="18"/>
              </w:rPr>
            </w:pPr>
            <w:r>
              <w:rPr>
                <w:rFonts w:hint="eastAsia"/>
                <w:b/>
                <w:sz w:val="18"/>
                <w:szCs w:val="18"/>
              </w:rPr>
              <w:t>主管部门及代码</w:t>
            </w:r>
          </w:p>
        </w:tc>
        <w:tc>
          <w:tcPr>
            <w:tcW w:w="3028" w:type="dxa"/>
            <w:gridSpan w:val="2"/>
            <w:shd w:val="clear" w:color="auto" w:fill="auto"/>
            <w:vAlign w:val="center"/>
          </w:tcPr>
          <w:p>
            <w:pPr>
              <w:jc w:val="center"/>
              <w:rPr>
                <w:sz w:val="18"/>
                <w:szCs w:val="18"/>
              </w:rPr>
            </w:pPr>
            <w:r>
              <w:rPr>
                <w:rFonts w:ascii="宋体" w:cs="宋体"/>
                <w:color w:val="000000"/>
                <w:kern w:val="0"/>
                <w:sz w:val="18"/>
                <w:szCs w:val="18"/>
                <w:highlight w:val="white"/>
              </w:rPr>
              <w:t>303-甘肃省教育厅</w:t>
            </w:r>
          </w:p>
        </w:tc>
        <w:tc>
          <w:tcPr>
            <w:tcW w:w="1460" w:type="dxa"/>
            <w:shd w:val="clear" w:color="auto" w:fill="auto"/>
            <w:vAlign w:val="center"/>
          </w:tcPr>
          <w:p>
            <w:pPr>
              <w:jc w:val="center"/>
              <w:rPr>
                <w:b/>
                <w:sz w:val="18"/>
                <w:szCs w:val="18"/>
              </w:rPr>
            </w:pPr>
            <w:r>
              <w:rPr>
                <w:rFonts w:hint="eastAsia"/>
                <w:b/>
                <w:sz w:val="18"/>
                <w:szCs w:val="18"/>
              </w:rPr>
              <w:t>实施单位</w:t>
            </w:r>
          </w:p>
        </w:tc>
        <w:tc>
          <w:tcPr>
            <w:tcW w:w="3507" w:type="dxa"/>
            <w:gridSpan w:val="2"/>
            <w:shd w:val="clear" w:color="auto" w:fill="auto"/>
            <w:vAlign w:val="center"/>
          </w:tcPr>
          <w:p>
            <w:pPr>
              <w:jc w:val="center"/>
              <w:rPr>
                <w:sz w:val="18"/>
                <w:szCs w:val="18"/>
              </w:rPr>
            </w:pPr>
            <w:r>
              <w:rPr>
                <w:rFonts w:ascii="宋体" w:cs="宋体"/>
                <w:color w:val="000000"/>
                <w:kern w:val="0"/>
                <w:sz w:val="18"/>
                <w:szCs w:val="18"/>
                <w:highlight w:val="white"/>
              </w:rPr>
              <w:t>甘肃省教育科学研究院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vMerge w:val="restart"/>
            <w:shd w:val="clear" w:color="auto" w:fill="auto"/>
            <w:vAlign w:val="center"/>
          </w:tcPr>
          <w:p>
            <w:pPr>
              <w:jc w:val="center"/>
              <w:rPr>
                <w:b/>
                <w:sz w:val="18"/>
                <w:szCs w:val="18"/>
              </w:rPr>
            </w:pPr>
            <w:r>
              <w:rPr>
                <w:rFonts w:hint="eastAsia"/>
                <w:b/>
                <w:sz w:val="18"/>
                <w:szCs w:val="18"/>
              </w:rPr>
              <w:t>项目金额</w:t>
            </w:r>
          </w:p>
        </w:tc>
        <w:tc>
          <w:tcPr>
            <w:tcW w:w="3028" w:type="dxa"/>
            <w:gridSpan w:val="2"/>
            <w:shd w:val="clear" w:color="auto" w:fill="auto"/>
            <w:vAlign w:val="center"/>
          </w:tcPr>
          <w:p>
            <w:pPr>
              <w:jc w:val="left"/>
              <w:rPr>
                <w:b/>
                <w:sz w:val="18"/>
                <w:szCs w:val="18"/>
              </w:rPr>
            </w:pPr>
            <w:r>
              <w:rPr>
                <w:rFonts w:hint="eastAsia"/>
                <w:b/>
                <w:sz w:val="18"/>
                <w:szCs w:val="18"/>
              </w:rPr>
              <w:t>年度资金总额：</w:t>
            </w:r>
          </w:p>
        </w:tc>
        <w:tc>
          <w:tcPr>
            <w:tcW w:w="4967" w:type="dxa"/>
            <w:gridSpan w:val="3"/>
            <w:shd w:val="clear" w:color="auto" w:fill="auto"/>
            <w:vAlign w:val="center"/>
          </w:tcPr>
          <w:p>
            <w:pPr>
              <w:jc w:val="center"/>
              <w:rPr>
                <w:sz w:val="18"/>
                <w:szCs w:val="18"/>
              </w:rPr>
            </w:pPr>
            <w:r>
              <w:rPr>
                <w:rFonts w:hint="eastAsia"/>
                <w:sz w:val="18"/>
                <w:szCs w:val="18"/>
              </w:rPr>
              <w:t>300.00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vMerge w:val="continue"/>
            <w:shd w:val="clear" w:color="auto" w:fill="auto"/>
            <w:vAlign w:val="center"/>
          </w:tcPr>
          <w:p>
            <w:pPr>
              <w:jc w:val="center"/>
              <w:rPr>
                <w:b/>
                <w:sz w:val="18"/>
                <w:szCs w:val="18"/>
              </w:rPr>
            </w:pPr>
          </w:p>
        </w:tc>
        <w:tc>
          <w:tcPr>
            <w:tcW w:w="3028" w:type="dxa"/>
            <w:gridSpan w:val="2"/>
            <w:shd w:val="clear" w:color="auto" w:fill="auto"/>
            <w:vAlign w:val="center"/>
          </w:tcPr>
          <w:p>
            <w:pPr>
              <w:jc w:val="left"/>
              <w:rPr>
                <w:b/>
                <w:sz w:val="18"/>
                <w:szCs w:val="18"/>
              </w:rPr>
            </w:pPr>
            <w:r>
              <w:rPr>
                <w:rFonts w:hint="eastAsia"/>
                <w:b/>
                <w:sz w:val="18"/>
                <w:szCs w:val="18"/>
              </w:rPr>
              <w:t xml:space="preserve">    其中：当年财政拨款</w:t>
            </w:r>
          </w:p>
        </w:tc>
        <w:tc>
          <w:tcPr>
            <w:tcW w:w="4967" w:type="dxa"/>
            <w:gridSpan w:val="3"/>
            <w:shd w:val="clear" w:color="auto" w:fill="auto"/>
            <w:vAlign w:val="center"/>
          </w:tcPr>
          <w:p>
            <w:pPr>
              <w:jc w:val="center"/>
              <w:rPr>
                <w:sz w:val="18"/>
                <w:szCs w:val="18"/>
              </w:rPr>
            </w:pPr>
            <w:r>
              <w:rPr>
                <w:rFonts w:ascii="宋体" w:cs="宋体"/>
                <w:color w:val="000000"/>
                <w:kern w:val="0"/>
                <w:sz w:val="18"/>
                <w:szCs w:val="18"/>
                <w:highlight w:val="white"/>
              </w:rPr>
              <w:t>300.00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vMerge w:val="continue"/>
            <w:shd w:val="clear" w:color="auto" w:fill="auto"/>
            <w:vAlign w:val="center"/>
          </w:tcPr>
          <w:p>
            <w:pPr>
              <w:jc w:val="center"/>
              <w:rPr>
                <w:b/>
                <w:sz w:val="18"/>
                <w:szCs w:val="18"/>
              </w:rPr>
            </w:pPr>
          </w:p>
        </w:tc>
        <w:tc>
          <w:tcPr>
            <w:tcW w:w="3028" w:type="dxa"/>
            <w:gridSpan w:val="2"/>
            <w:shd w:val="clear" w:color="auto" w:fill="auto"/>
            <w:vAlign w:val="center"/>
          </w:tcPr>
          <w:p>
            <w:pPr>
              <w:jc w:val="left"/>
              <w:rPr>
                <w:b/>
                <w:sz w:val="18"/>
                <w:szCs w:val="18"/>
              </w:rPr>
            </w:pPr>
            <w:r>
              <w:rPr>
                <w:rFonts w:hint="eastAsia"/>
                <w:b/>
                <w:sz w:val="18"/>
                <w:szCs w:val="18"/>
              </w:rPr>
              <w:t xml:space="preserve">           上年结转资金</w:t>
            </w:r>
          </w:p>
        </w:tc>
        <w:tc>
          <w:tcPr>
            <w:tcW w:w="4967" w:type="dxa"/>
            <w:gridSpan w:val="3"/>
            <w:shd w:val="clear" w:color="auto" w:fill="auto"/>
            <w:vAlign w:val="center"/>
          </w:tcPr>
          <w:p>
            <w:pPr>
              <w:jc w:val="center"/>
              <w:rPr>
                <w:sz w:val="18"/>
                <w:szCs w:val="18"/>
              </w:rPr>
            </w:pPr>
            <w:r>
              <w:rPr>
                <w:rFonts w:ascii="宋体" w:cs="宋体"/>
                <w:color w:val="000000"/>
                <w:kern w:val="0"/>
                <w:sz w:val="18"/>
                <w:szCs w:val="18"/>
                <w:highlight w:val="white"/>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vMerge w:val="continue"/>
            <w:shd w:val="clear" w:color="auto" w:fill="auto"/>
            <w:vAlign w:val="center"/>
          </w:tcPr>
          <w:p>
            <w:pPr>
              <w:jc w:val="center"/>
              <w:rPr>
                <w:b/>
                <w:sz w:val="18"/>
                <w:szCs w:val="18"/>
              </w:rPr>
            </w:pPr>
          </w:p>
        </w:tc>
        <w:tc>
          <w:tcPr>
            <w:tcW w:w="3028" w:type="dxa"/>
            <w:gridSpan w:val="2"/>
            <w:shd w:val="clear" w:color="auto" w:fill="auto"/>
            <w:vAlign w:val="center"/>
          </w:tcPr>
          <w:p>
            <w:pPr>
              <w:jc w:val="left"/>
              <w:rPr>
                <w:b/>
                <w:sz w:val="18"/>
                <w:szCs w:val="18"/>
              </w:rPr>
            </w:pPr>
            <w:r>
              <w:rPr>
                <w:rFonts w:hint="eastAsia"/>
                <w:b/>
                <w:sz w:val="18"/>
                <w:szCs w:val="18"/>
              </w:rPr>
              <w:t xml:space="preserve">            其他资金</w:t>
            </w:r>
          </w:p>
        </w:tc>
        <w:tc>
          <w:tcPr>
            <w:tcW w:w="4967" w:type="dxa"/>
            <w:gridSpan w:val="3"/>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1526" w:type="dxa"/>
            <w:shd w:val="clear" w:color="auto" w:fill="auto"/>
            <w:vAlign w:val="center"/>
          </w:tcPr>
          <w:p>
            <w:pPr>
              <w:jc w:val="center"/>
              <w:rPr>
                <w:b/>
                <w:sz w:val="18"/>
                <w:szCs w:val="18"/>
              </w:rPr>
            </w:pPr>
            <w:r>
              <w:rPr>
                <w:rFonts w:hint="eastAsia"/>
                <w:b/>
                <w:sz w:val="18"/>
                <w:szCs w:val="18"/>
              </w:rPr>
              <w:t>总体目标</w:t>
            </w:r>
          </w:p>
        </w:tc>
        <w:tc>
          <w:tcPr>
            <w:tcW w:w="7995" w:type="dxa"/>
            <w:gridSpan w:val="5"/>
            <w:shd w:val="clear" w:color="auto" w:fill="auto"/>
            <w:vAlign w:val="center"/>
          </w:tcPr>
          <w:p>
            <w:pPr>
              <w:rPr>
                <w:b/>
                <w:sz w:val="18"/>
                <w:szCs w:val="18"/>
              </w:rPr>
            </w:pPr>
            <w:r>
              <w:rPr>
                <w:rFonts w:hint="eastAsia"/>
                <w:color w:val="000000"/>
                <w:sz w:val="18"/>
                <w:szCs w:val="18"/>
              </w:rPr>
              <w:t>完成2024年甘肃省教育科学“十四五”规划课题立项、课题结项及2024年度甘肃省教育科研成果培育项目工作。</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shd w:val="clear" w:color="auto" w:fill="auto"/>
            <w:vAlign w:val="center"/>
          </w:tcPr>
          <w:p>
            <w:pPr>
              <w:jc w:val="center"/>
              <w:rPr>
                <w:b/>
                <w:sz w:val="18"/>
                <w:szCs w:val="18"/>
              </w:rPr>
            </w:pPr>
            <w:r>
              <w:rPr>
                <w:rFonts w:hint="eastAsia"/>
                <w:b/>
                <w:sz w:val="18"/>
                <w:szCs w:val="18"/>
              </w:rPr>
              <w:t>一级指标</w:t>
            </w:r>
          </w:p>
        </w:tc>
        <w:tc>
          <w:tcPr>
            <w:tcW w:w="1701" w:type="dxa"/>
            <w:shd w:val="clear" w:color="auto" w:fill="auto"/>
            <w:vAlign w:val="center"/>
          </w:tcPr>
          <w:p>
            <w:pPr>
              <w:jc w:val="center"/>
              <w:rPr>
                <w:b/>
                <w:sz w:val="18"/>
                <w:szCs w:val="18"/>
              </w:rPr>
            </w:pPr>
            <w:r>
              <w:rPr>
                <w:rFonts w:hint="eastAsia"/>
                <w:b/>
                <w:sz w:val="18"/>
                <w:szCs w:val="18"/>
              </w:rPr>
              <w:t>二级指标</w:t>
            </w:r>
          </w:p>
        </w:tc>
        <w:tc>
          <w:tcPr>
            <w:tcW w:w="4252" w:type="dxa"/>
            <w:gridSpan w:val="3"/>
            <w:shd w:val="clear" w:color="auto" w:fill="auto"/>
            <w:vAlign w:val="center"/>
          </w:tcPr>
          <w:p>
            <w:pPr>
              <w:jc w:val="center"/>
              <w:rPr>
                <w:b/>
                <w:sz w:val="18"/>
                <w:szCs w:val="18"/>
              </w:rPr>
            </w:pPr>
            <w:r>
              <w:rPr>
                <w:rFonts w:hint="eastAsia"/>
                <w:b/>
                <w:sz w:val="18"/>
                <w:szCs w:val="18"/>
              </w:rPr>
              <w:t>三级指标</w:t>
            </w:r>
          </w:p>
        </w:tc>
        <w:tc>
          <w:tcPr>
            <w:tcW w:w="2042" w:type="dxa"/>
            <w:shd w:val="clear" w:color="auto" w:fill="auto"/>
            <w:vAlign w:val="center"/>
          </w:tcPr>
          <w:p>
            <w:pPr>
              <w:jc w:val="center"/>
              <w:rPr>
                <w:b/>
                <w:sz w:val="18"/>
                <w:szCs w:val="18"/>
              </w:rPr>
            </w:pPr>
            <w:r>
              <w:rPr>
                <w:rFonts w:hint="eastAsia"/>
                <w:b/>
                <w:sz w:val="18"/>
                <w:szCs w:val="18"/>
              </w:rPr>
              <w:t>指标目标值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restart"/>
            <w:shd w:val="clear" w:color="auto" w:fill="auto"/>
            <w:vAlign w:val="center"/>
          </w:tcPr>
          <w:p>
            <w:pPr>
              <w:jc w:val="center"/>
              <w:rPr>
                <w:sz w:val="18"/>
                <w:szCs w:val="18"/>
              </w:rPr>
            </w:pPr>
            <w:r>
              <w:rPr>
                <w:rFonts w:hint="eastAsia"/>
                <w:sz w:val="18"/>
                <w:szCs w:val="18"/>
              </w:rPr>
              <w:t>产出指标</w:t>
            </w:r>
          </w:p>
        </w:tc>
        <w:tc>
          <w:tcPr>
            <w:tcW w:w="1701" w:type="dxa"/>
            <w:vMerge w:val="restart"/>
            <w:shd w:val="clear" w:color="auto" w:fill="auto"/>
            <w:vAlign w:val="center"/>
          </w:tcPr>
          <w:p>
            <w:pPr>
              <w:jc w:val="center"/>
              <w:rPr>
                <w:sz w:val="18"/>
                <w:szCs w:val="18"/>
              </w:rPr>
            </w:pPr>
            <w:r>
              <w:rPr>
                <w:rFonts w:hint="eastAsia"/>
                <w:sz w:val="18"/>
                <w:szCs w:val="18"/>
              </w:rPr>
              <w:t>数量指标</w:t>
            </w:r>
          </w:p>
        </w:tc>
        <w:tc>
          <w:tcPr>
            <w:tcW w:w="4252" w:type="dxa"/>
            <w:gridSpan w:val="3"/>
            <w:shd w:val="clear" w:color="auto" w:fill="auto"/>
            <w:vAlign w:val="center"/>
          </w:tcPr>
          <w:p>
            <w:pPr>
              <w:jc w:val="left"/>
              <w:rPr>
                <w:sz w:val="18"/>
                <w:szCs w:val="18"/>
              </w:rPr>
            </w:pPr>
            <w:r>
              <w:rPr>
                <w:rFonts w:hint="eastAsia"/>
                <w:sz w:val="18"/>
                <w:szCs w:val="18"/>
              </w:rPr>
              <w:t>2024年省级规划课题立项、结题</w:t>
            </w:r>
          </w:p>
        </w:tc>
        <w:tc>
          <w:tcPr>
            <w:tcW w:w="2042" w:type="dxa"/>
            <w:shd w:val="clear" w:color="auto" w:fill="auto"/>
            <w:vAlign w:val="center"/>
          </w:tcPr>
          <w:p>
            <w:pPr>
              <w:jc w:val="center"/>
              <w:rPr>
                <w:sz w:val="18"/>
                <w:szCs w:val="18"/>
              </w:rPr>
            </w:pPr>
            <w:r>
              <w:rPr>
                <w:rFonts w:hint="eastAsia"/>
                <w:sz w:val="18"/>
                <w:szCs w:val="18"/>
              </w:rPr>
              <w:t>≤4000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restart"/>
            <w:shd w:val="clear" w:color="auto" w:fill="auto"/>
            <w:vAlign w:val="center"/>
          </w:tcPr>
          <w:p>
            <w:pPr>
              <w:jc w:val="center"/>
              <w:rPr>
                <w:sz w:val="18"/>
                <w:szCs w:val="18"/>
              </w:rPr>
            </w:pPr>
            <w:r>
              <w:rPr>
                <w:rFonts w:hint="eastAsia"/>
                <w:sz w:val="18"/>
                <w:szCs w:val="18"/>
              </w:rPr>
              <w:t>质量指标</w:t>
            </w:r>
          </w:p>
        </w:tc>
        <w:tc>
          <w:tcPr>
            <w:tcW w:w="4252" w:type="dxa"/>
            <w:gridSpan w:val="3"/>
            <w:shd w:val="clear" w:color="auto" w:fill="auto"/>
            <w:vAlign w:val="center"/>
          </w:tcPr>
          <w:p>
            <w:pPr>
              <w:jc w:val="left"/>
              <w:rPr>
                <w:sz w:val="18"/>
                <w:szCs w:val="18"/>
              </w:rPr>
            </w:pPr>
            <w:r>
              <w:rPr>
                <w:rFonts w:hint="eastAsia"/>
                <w:sz w:val="18"/>
                <w:szCs w:val="18"/>
              </w:rPr>
              <w:t>课题立项、鉴定评审</w:t>
            </w:r>
          </w:p>
        </w:tc>
        <w:tc>
          <w:tcPr>
            <w:tcW w:w="2042" w:type="dxa"/>
            <w:shd w:val="clear" w:color="auto" w:fill="auto"/>
            <w:vAlign w:val="center"/>
          </w:tcPr>
          <w:p>
            <w:pPr>
              <w:jc w:val="center"/>
              <w:rPr>
                <w:sz w:val="18"/>
                <w:szCs w:val="18"/>
              </w:rPr>
            </w:pPr>
            <w:r>
              <w:rPr>
                <w:rFonts w:hint="eastAsia"/>
                <w:sz w:val="18"/>
                <w:szCs w:val="18"/>
              </w:rPr>
              <w:t>客观公正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restart"/>
            <w:shd w:val="clear" w:color="auto" w:fill="auto"/>
            <w:vAlign w:val="center"/>
          </w:tcPr>
          <w:p>
            <w:pPr>
              <w:jc w:val="center"/>
              <w:rPr>
                <w:sz w:val="18"/>
                <w:szCs w:val="18"/>
              </w:rPr>
            </w:pPr>
            <w:r>
              <w:rPr>
                <w:rFonts w:hint="eastAsia"/>
                <w:sz w:val="18"/>
                <w:szCs w:val="18"/>
              </w:rPr>
              <w:t>时效指标</w:t>
            </w:r>
          </w:p>
        </w:tc>
        <w:tc>
          <w:tcPr>
            <w:tcW w:w="4252" w:type="dxa"/>
            <w:gridSpan w:val="3"/>
            <w:shd w:val="clear" w:color="auto" w:fill="auto"/>
            <w:vAlign w:val="center"/>
          </w:tcPr>
          <w:p>
            <w:pPr>
              <w:jc w:val="left"/>
              <w:rPr>
                <w:sz w:val="18"/>
                <w:szCs w:val="18"/>
              </w:rPr>
            </w:pPr>
            <w:r>
              <w:rPr>
                <w:rFonts w:hint="eastAsia"/>
                <w:sz w:val="18"/>
                <w:szCs w:val="18"/>
              </w:rPr>
              <w:t>立项、鉴定评审结果</w:t>
            </w:r>
          </w:p>
        </w:tc>
        <w:tc>
          <w:tcPr>
            <w:tcW w:w="2042" w:type="dxa"/>
            <w:shd w:val="clear" w:color="auto" w:fill="auto"/>
            <w:vAlign w:val="center"/>
          </w:tcPr>
          <w:p>
            <w:pPr>
              <w:jc w:val="center"/>
              <w:rPr>
                <w:sz w:val="18"/>
                <w:szCs w:val="18"/>
              </w:rPr>
            </w:pPr>
            <w:r>
              <w:rPr>
                <w:rFonts w:hint="eastAsia"/>
                <w:sz w:val="18"/>
                <w:szCs w:val="18"/>
              </w:rPr>
              <w:t>及时完成</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restart"/>
            <w:shd w:val="clear" w:color="auto" w:fill="auto"/>
            <w:vAlign w:val="center"/>
          </w:tcPr>
          <w:p>
            <w:pPr>
              <w:jc w:val="center"/>
              <w:rPr>
                <w:sz w:val="18"/>
                <w:szCs w:val="18"/>
              </w:rPr>
            </w:pPr>
            <w:r>
              <w:rPr>
                <w:rFonts w:hint="eastAsia"/>
                <w:sz w:val="18"/>
                <w:szCs w:val="18"/>
              </w:rPr>
              <w:t>效益指标</w:t>
            </w:r>
          </w:p>
        </w:tc>
        <w:tc>
          <w:tcPr>
            <w:tcW w:w="1701" w:type="dxa"/>
            <w:vMerge w:val="restart"/>
            <w:shd w:val="clear" w:color="auto" w:fill="auto"/>
            <w:vAlign w:val="center"/>
          </w:tcPr>
          <w:p>
            <w:pPr>
              <w:jc w:val="center"/>
              <w:rPr>
                <w:sz w:val="18"/>
                <w:szCs w:val="18"/>
              </w:rPr>
            </w:pPr>
            <w:r>
              <w:rPr>
                <w:rFonts w:hint="eastAsia"/>
                <w:sz w:val="18"/>
                <w:szCs w:val="18"/>
              </w:rPr>
              <w:t>经济效益指标</w:t>
            </w:r>
          </w:p>
        </w:tc>
        <w:tc>
          <w:tcPr>
            <w:tcW w:w="4252" w:type="dxa"/>
            <w:gridSpan w:val="3"/>
            <w:shd w:val="clear" w:color="auto" w:fill="auto"/>
            <w:vAlign w:val="center"/>
          </w:tcPr>
          <w:p>
            <w:pPr>
              <w:jc w:val="left"/>
              <w:rPr>
                <w:sz w:val="18"/>
                <w:szCs w:val="18"/>
              </w:rPr>
            </w:pPr>
            <w:r>
              <w:rPr>
                <w:rFonts w:hint="eastAsia"/>
                <w:sz w:val="18"/>
                <w:szCs w:val="18"/>
              </w:rPr>
              <w:t>成本控制率</w:t>
            </w:r>
          </w:p>
        </w:tc>
        <w:tc>
          <w:tcPr>
            <w:tcW w:w="2042" w:type="dxa"/>
            <w:shd w:val="clear" w:color="auto" w:fill="auto"/>
            <w:vAlign w:val="center"/>
          </w:tcPr>
          <w:p>
            <w:pPr>
              <w:jc w:val="center"/>
              <w:rPr>
                <w:sz w:val="18"/>
                <w:szCs w:val="18"/>
              </w:rPr>
            </w:pPr>
            <w:r>
              <w:rPr>
                <w:rFonts w:hint="eastAsia"/>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restart"/>
            <w:shd w:val="clear" w:color="auto" w:fill="auto"/>
            <w:vAlign w:val="center"/>
          </w:tcPr>
          <w:p>
            <w:pPr>
              <w:jc w:val="center"/>
              <w:rPr>
                <w:sz w:val="18"/>
                <w:szCs w:val="18"/>
              </w:rPr>
            </w:pPr>
            <w:r>
              <w:rPr>
                <w:rFonts w:hint="eastAsia"/>
                <w:sz w:val="18"/>
                <w:szCs w:val="18"/>
              </w:rPr>
              <w:t>社会效益指标</w:t>
            </w:r>
          </w:p>
        </w:tc>
        <w:tc>
          <w:tcPr>
            <w:tcW w:w="4252" w:type="dxa"/>
            <w:gridSpan w:val="3"/>
            <w:shd w:val="clear" w:color="auto" w:fill="auto"/>
            <w:vAlign w:val="center"/>
          </w:tcPr>
          <w:p>
            <w:pPr>
              <w:jc w:val="left"/>
              <w:rPr>
                <w:sz w:val="18"/>
                <w:szCs w:val="18"/>
              </w:rPr>
            </w:pPr>
            <w:r>
              <w:rPr>
                <w:rFonts w:hint="eastAsia"/>
                <w:sz w:val="18"/>
                <w:szCs w:val="18"/>
              </w:rPr>
              <w:t>课题研究成果</w:t>
            </w:r>
          </w:p>
        </w:tc>
        <w:tc>
          <w:tcPr>
            <w:tcW w:w="2042" w:type="dxa"/>
            <w:shd w:val="clear" w:color="auto" w:fill="auto"/>
            <w:vAlign w:val="center"/>
          </w:tcPr>
          <w:p>
            <w:pPr>
              <w:jc w:val="center"/>
              <w:rPr>
                <w:sz w:val="18"/>
                <w:szCs w:val="18"/>
              </w:rPr>
            </w:pPr>
            <w:r>
              <w:rPr>
                <w:rFonts w:hint="eastAsia"/>
                <w:sz w:val="18"/>
                <w:szCs w:val="18"/>
              </w:rPr>
              <w:t>推广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restart"/>
            <w:shd w:val="clear" w:color="auto" w:fill="auto"/>
            <w:vAlign w:val="center"/>
          </w:tcPr>
          <w:p>
            <w:pPr>
              <w:jc w:val="center"/>
              <w:rPr>
                <w:sz w:val="18"/>
                <w:szCs w:val="18"/>
              </w:rPr>
            </w:pPr>
            <w:r>
              <w:rPr>
                <w:rFonts w:hint="eastAsia"/>
                <w:sz w:val="18"/>
                <w:szCs w:val="18"/>
              </w:rPr>
              <w:t>生态效益指标</w:t>
            </w:r>
          </w:p>
        </w:tc>
        <w:tc>
          <w:tcPr>
            <w:tcW w:w="4252" w:type="dxa"/>
            <w:gridSpan w:val="3"/>
            <w:shd w:val="clear" w:color="auto" w:fill="auto"/>
            <w:vAlign w:val="center"/>
          </w:tcPr>
          <w:p>
            <w:pPr>
              <w:jc w:val="left"/>
              <w:rPr>
                <w:sz w:val="18"/>
                <w:szCs w:val="18"/>
              </w:rPr>
            </w:pPr>
            <w:r>
              <w:rPr>
                <w:rFonts w:hint="eastAsia"/>
                <w:sz w:val="18"/>
                <w:szCs w:val="18"/>
              </w:rPr>
              <w:t>无生态效益</w:t>
            </w:r>
          </w:p>
        </w:tc>
        <w:tc>
          <w:tcPr>
            <w:tcW w:w="2042" w:type="dxa"/>
            <w:shd w:val="clear" w:color="auto" w:fill="auto"/>
            <w:vAlign w:val="center"/>
          </w:tcPr>
          <w:p>
            <w:pPr>
              <w:jc w:val="center"/>
              <w:rPr>
                <w:sz w:val="18"/>
                <w:szCs w:val="18"/>
              </w:rPr>
            </w:pPr>
            <w:r>
              <w:rPr>
                <w:rFonts w:hint="eastAsia"/>
                <w:sz w:val="18"/>
                <w:szCs w:val="18"/>
              </w:rPr>
              <w:t>不涉及</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restart"/>
            <w:shd w:val="clear" w:color="auto" w:fill="auto"/>
            <w:vAlign w:val="center"/>
          </w:tcPr>
          <w:p>
            <w:pPr>
              <w:jc w:val="center"/>
              <w:rPr>
                <w:sz w:val="18"/>
                <w:szCs w:val="18"/>
              </w:rPr>
            </w:pPr>
            <w:r>
              <w:rPr>
                <w:rFonts w:hint="eastAsia"/>
                <w:sz w:val="18"/>
                <w:szCs w:val="18"/>
              </w:rPr>
              <w:t>满意度指标</w:t>
            </w:r>
          </w:p>
        </w:tc>
        <w:tc>
          <w:tcPr>
            <w:tcW w:w="1701" w:type="dxa"/>
            <w:vMerge w:val="restart"/>
            <w:shd w:val="clear" w:color="auto" w:fill="auto"/>
            <w:vAlign w:val="center"/>
          </w:tcPr>
          <w:p>
            <w:pPr>
              <w:jc w:val="center"/>
              <w:rPr>
                <w:sz w:val="18"/>
                <w:szCs w:val="18"/>
              </w:rPr>
            </w:pPr>
            <w:r>
              <w:rPr>
                <w:rFonts w:hint="eastAsia"/>
                <w:sz w:val="18"/>
                <w:szCs w:val="18"/>
              </w:rPr>
              <w:t>服务对象满意度指标</w:t>
            </w:r>
          </w:p>
        </w:tc>
        <w:tc>
          <w:tcPr>
            <w:tcW w:w="4252" w:type="dxa"/>
            <w:gridSpan w:val="3"/>
            <w:shd w:val="clear" w:color="auto" w:fill="auto"/>
            <w:vAlign w:val="center"/>
          </w:tcPr>
          <w:p>
            <w:pPr>
              <w:jc w:val="left"/>
              <w:rPr>
                <w:sz w:val="18"/>
                <w:szCs w:val="18"/>
              </w:rPr>
            </w:pPr>
            <w:r>
              <w:rPr>
                <w:rFonts w:hint="eastAsia"/>
                <w:sz w:val="18"/>
                <w:szCs w:val="18"/>
              </w:rPr>
              <w:t>课题申报人</w:t>
            </w:r>
          </w:p>
        </w:tc>
        <w:tc>
          <w:tcPr>
            <w:tcW w:w="2042" w:type="dxa"/>
            <w:shd w:val="clear" w:color="auto" w:fill="auto"/>
            <w:vAlign w:val="center"/>
          </w:tcPr>
          <w:p>
            <w:pPr>
              <w:jc w:val="center"/>
              <w:rPr>
                <w:sz w:val="18"/>
                <w:szCs w:val="18"/>
              </w:rPr>
            </w:pPr>
            <w:r>
              <w:rPr>
                <w:rFonts w:hint="eastAsia"/>
                <w:sz w:val="18"/>
                <w:szCs w:val="18"/>
              </w:rPr>
              <w:t>≥90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restart"/>
            <w:shd w:val="clear" w:color="auto" w:fill="auto"/>
            <w:vAlign w:val="center"/>
          </w:tcPr>
          <w:p>
            <w:pPr>
              <w:jc w:val="center"/>
              <w:rPr>
                <w:sz w:val="18"/>
                <w:szCs w:val="18"/>
              </w:rPr>
            </w:pPr>
            <w:r>
              <w:rPr>
                <w:rFonts w:hint="eastAsia"/>
                <w:sz w:val="18"/>
                <w:szCs w:val="18"/>
              </w:rPr>
              <w:t>成本指标</w:t>
            </w:r>
          </w:p>
        </w:tc>
        <w:tc>
          <w:tcPr>
            <w:tcW w:w="1701" w:type="dxa"/>
            <w:vMerge w:val="restart"/>
            <w:shd w:val="clear" w:color="auto" w:fill="auto"/>
            <w:vAlign w:val="center"/>
          </w:tcPr>
          <w:p>
            <w:pPr>
              <w:jc w:val="center"/>
              <w:rPr>
                <w:sz w:val="18"/>
                <w:szCs w:val="18"/>
              </w:rPr>
            </w:pPr>
            <w:r>
              <w:rPr>
                <w:rFonts w:hint="eastAsia"/>
                <w:sz w:val="18"/>
                <w:szCs w:val="18"/>
              </w:rPr>
              <w:t>经济成本指标</w:t>
            </w:r>
          </w:p>
        </w:tc>
        <w:tc>
          <w:tcPr>
            <w:tcW w:w="4252" w:type="dxa"/>
            <w:gridSpan w:val="3"/>
            <w:shd w:val="clear" w:color="auto" w:fill="auto"/>
            <w:vAlign w:val="center"/>
          </w:tcPr>
          <w:p>
            <w:pPr>
              <w:jc w:val="left"/>
              <w:rPr>
                <w:sz w:val="18"/>
                <w:szCs w:val="18"/>
              </w:rPr>
            </w:pPr>
            <w:r>
              <w:rPr>
                <w:rFonts w:hint="eastAsia"/>
                <w:sz w:val="18"/>
                <w:szCs w:val="18"/>
              </w:rPr>
              <w:t>预算执行率</w:t>
            </w:r>
          </w:p>
        </w:tc>
        <w:tc>
          <w:tcPr>
            <w:tcW w:w="2042" w:type="dxa"/>
            <w:shd w:val="clear" w:color="auto" w:fill="auto"/>
            <w:vAlign w:val="center"/>
          </w:tcPr>
          <w:p>
            <w:pPr>
              <w:jc w:val="center"/>
              <w:rPr>
                <w:sz w:val="18"/>
                <w:szCs w:val="18"/>
              </w:rPr>
            </w:pPr>
            <w:r>
              <w:rPr>
                <w:rFonts w:hint="eastAsia"/>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restart"/>
            <w:shd w:val="clear" w:color="auto" w:fill="auto"/>
            <w:vAlign w:val="center"/>
          </w:tcPr>
          <w:p>
            <w:pPr>
              <w:jc w:val="center"/>
              <w:rPr>
                <w:sz w:val="18"/>
                <w:szCs w:val="18"/>
              </w:rPr>
            </w:pPr>
            <w:r>
              <w:rPr>
                <w:rFonts w:hint="eastAsia"/>
                <w:sz w:val="18"/>
                <w:szCs w:val="18"/>
              </w:rPr>
              <w:t>社会成本指标</w:t>
            </w:r>
          </w:p>
        </w:tc>
        <w:tc>
          <w:tcPr>
            <w:tcW w:w="4252" w:type="dxa"/>
            <w:gridSpan w:val="3"/>
            <w:shd w:val="clear" w:color="auto" w:fill="auto"/>
            <w:vAlign w:val="center"/>
          </w:tcPr>
          <w:p>
            <w:pPr>
              <w:jc w:val="left"/>
              <w:rPr>
                <w:sz w:val="18"/>
                <w:szCs w:val="18"/>
              </w:rPr>
            </w:pPr>
            <w:r>
              <w:rPr>
                <w:rFonts w:hint="eastAsia"/>
                <w:sz w:val="18"/>
                <w:szCs w:val="18"/>
              </w:rPr>
              <w:t>教师科研能力</w:t>
            </w:r>
          </w:p>
        </w:tc>
        <w:tc>
          <w:tcPr>
            <w:tcW w:w="2042" w:type="dxa"/>
            <w:shd w:val="clear" w:color="auto" w:fill="auto"/>
            <w:vAlign w:val="center"/>
          </w:tcPr>
          <w:p>
            <w:pPr>
              <w:jc w:val="center"/>
              <w:rPr>
                <w:sz w:val="18"/>
                <w:szCs w:val="18"/>
              </w:rPr>
            </w:pPr>
            <w:r>
              <w:rPr>
                <w:rFonts w:hint="eastAsia"/>
                <w:sz w:val="18"/>
                <w:szCs w:val="18"/>
              </w:rPr>
              <w:t>提高</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shd w:val="clear" w:color="auto" w:fill="auto"/>
            <w:vAlign w:val="center"/>
          </w:tcPr>
          <w:p>
            <w:pPr>
              <w:jc w:val="center"/>
              <w:rPr>
                <w:sz w:val="18"/>
                <w:szCs w:val="18"/>
              </w:rPr>
            </w:pPr>
            <w:r>
              <w:rPr>
                <w:rFonts w:hint="eastAsia"/>
                <w:sz w:val="18"/>
                <w:szCs w:val="18"/>
              </w:rPr>
              <w:t>生态环境成本指标</w:t>
            </w:r>
          </w:p>
        </w:tc>
        <w:tc>
          <w:tcPr>
            <w:tcW w:w="4252" w:type="dxa"/>
            <w:gridSpan w:val="3"/>
            <w:shd w:val="clear" w:color="auto" w:fill="auto"/>
            <w:vAlign w:val="center"/>
          </w:tcPr>
          <w:p>
            <w:pPr>
              <w:jc w:val="left"/>
              <w:rPr>
                <w:sz w:val="18"/>
                <w:szCs w:val="18"/>
              </w:rPr>
            </w:pPr>
            <w:r>
              <w:rPr>
                <w:rFonts w:hint="eastAsia"/>
                <w:sz w:val="18"/>
                <w:szCs w:val="18"/>
              </w:rPr>
              <w:t>无生态环境成本指标</w:t>
            </w:r>
          </w:p>
        </w:tc>
        <w:tc>
          <w:tcPr>
            <w:tcW w:w="2042" w:type="dxa"/>
            <w:shd w:val="clear" w:color="auto" w:fill="auto"/>
            <w:vAlign w:val="center"/>
          </w:tcPr>
          <w:p>
            <w:pPr>
              <w:jc w:val="center"/>
              <w:rPr>
                <w:sz w:val="18"/>
                <w:szCs w:val="18"/>
              </w:rPr>
            </w:pPr>
            <w:r>
              <w:rPr>
                <w:rFonts w:hint="eastAsia"/>
                <w:sz w:val="18"/>
                <w:szCs w:val="18"/>
              </w:rPr>
              <w:t>不涉及</w:t>
            </w:r>
          </w:p>
        </w:tc>
      </w:tr>
    </w:tbl>
    <w:p>
      <w:pPr>
        <w:widowControl/>
        <w:spacing w:line="560" w:lineRule="exact"/>
        <w:ind w:firstLine="360" w:firstLineChars="200"/>
        <w:jc w:val="left"/>
        <w:rPr>
          <w:rFonts w:ascii="仿宋" w:hAnsi="微软雅黑" w:eastAsia="仿宋"/>
          <w:sz w:val="18"/>
          <w:szCs w:val="18"/>
        </w:rPr>
        <w:sectPr>
          <w:pgSz w:w="11906" w:h="16838"/>
          <w:pgMar w:top="1134" w:right="1134" w:bottom="1134" w:left="1134" w:header="851" w:footer="992" w:gutter="0"/>
          <w:cols w:space="425" w:num="1"/>
          <w:docGrid w:type="lines" w:linePitch="312" w:charSpace="0"/>
        </w:sectPr>
      </w:pPr>
    </w:p>
    <w:p>
      <w:pPr>
        <w:spacing w:line="560" w:lineRule="exact"/>
        <w:jc w:val="center"/>
        <w:rPr>
          <w:rFonts w:ascii="仿宋" w:eastAsia="仿宋"/>
          <w:b/>
          <w:sz w:val="28"/>
          <w:szCs w:val="28"/>
        </w:rPr>
      </w:pPr>
      <w:r>
        <w:rPr>
          <w:rFonts w:hint="eastAsia" w:ascii="仿宋" w:eastAsia="仿宋"/>
          <w:b/>
          <w:sz w:val="28"/>
          <w:szCs w:val="28"/>
        </w:rPr>
        <w:t>项目支出绩效目标表</w:t>
      </w:r>
    </w:p>
    <w:p>
      <w:pPr>
        <w:spacing w:line="560" w:lineRule="exact"/>
        <w:jc w:val="center"/>
        <w:rPr>
          <w:rFonts w:ascii="仿宋" w:eastAsia="仿宋"/>
          <w:b/>
          <w:sz w:val="24"/>
          <w:szCs w:val="24"/>
        </w:rPr>
      </w:pPr>
      <w:r>
        <w:rPr>
          <w:rFonts w:hint="eastAsia" w:ascii="仿宋" w:eastAsia="仿宋"/>
          <w:b/>
          <w:sz w:val="24"/>
          <w:szCs w:val="24"/>
        </w:rPr>
        <w:t>（2024年度）</w:t>
      </w:r>
    </w:p>
    <w:tbl>
      <w:tblPr>
        <w:tblStyle w:val="8"/>
        <w:tblW w:w="9521"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01"/>
        <w:gridCol w:w="1327"/>
        <w:gridCol w:w="1460"/>
        <w:gridCol w:w="1465"/>
        <w:gridCol w:w="204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shd w:val="clear" w:color="auto" w:fill="auto"/>
            <w:vAlign w:val="center"/>
          </w:tcPr>
          <w:p>
            <w:pPr>
              <w:jc w:val="center"/>
              <w:rPr>
                <w:b/>
                <w:sz w:val="18"/>
                <w:szCs w:val="18"/>
              </w:rPr>
            </w:pPr>
            <w:r>
              <w:rPr>
                <w:rFonts w:hint="eastAsia"/>
                <w:b/>
                <w:sz w:val="18"/>
                <w:szCs w:val="18"/>
              </w:rPr>
              <w:t>项目名称</w:t>
            </w:r>
          </w:p>
        </w:tc>
        <w:tc>
          <w:tcPr>
            <w:tcW w:w="7995" w:type="dxa"/>
            <w:gridSpan w:val="5"/>
            <w:shd w:val="clear" w:color="auto" w:fill="auto"/>
            <w:vAlign w:val="center"/>
          </w:tcPr>
          <w:p>
            <w:pPr>
              <w:jc w:val="center"/>
              <w:rPr>
                <w:sz w:val="18"/>
                <w:szCs w:val="18"/>
              </w:rPr>
            </w:pPr>
            <w:r>
              <w:rPr>
                <w:rFonts w:hint="eastAsia"/>
                <w:sz w:val="18"/>
                <w:szCs w:val="18"/>
              </w:rPr>
              <w:t>学校德智体美劳发展经费</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shd w:val="clear" w:color="auto" w:fill="auto"/>
            <w:vAlign w:val="center"/>
          </w:tcPr>
          <w:p>
            <w:pPr>
              <w:jc w:val="center"/>
              <w:rPr>
                <w:b/>
                <w:sz w:val="18"/>
                <w:szCs w:val="18"/>
              </w:rPr>
            </w:pPr>
            <w:r>
              <w:rPr>
                <w:rFonts w:hint="eastAsia"/>
                <w:b/>
                <w:sz w:val="18"/>
                <w:szCs w:val="18"/>
              </w:rPr>
              <w:t>主管部门及代码</w:t>
            </w:r>
          </w:p>
        </w:tc>
        <w:tc>
          <w:tcPr>
            <w:tcW w:w="3028" w:type="dxa"/>
            <w:gridSpan w:val="2"/>
            <w:shd w:val="clear" w:color="auto" w:fill="auto"/>
            <w:vAlign w:val="center"/>
          </w:tcPr>
          <w:p>
            <w:pPr>
              <w:jc w:val="center"/>
              <w:rPr>
                <w:sz w:val="18"/>
                <w:szCs w:val="18"/>
              </w:rPr>
            </w:pPr>
            <w:r>
              <w:rPr>
                <w:rFonts w:ascii="宋体" w:cs="宋体"/>
                <w:color w:val="000000"/>
                <w:kern w:val="0"/>
                <w:sz w:val="18"/>
                <w:szCs w:val="18"/>
                <w:highlight w:val="white"/>
              </w:rPr>
              <w:t>303-甘肃省教育厅</w:t>
            </w:r>
          </w:p>
        </w:tc>
        <w:tc>
          <w:tcPr>
            <w:tcW w:w="1460" w:type="dxa"/>
            <w:shd w:val="clear" w:color="auto" w:fill="auto"/>
            <w:vAlign w:val="center"/>
          </w:tcPr>
          <w:p>
            <w:pPr>
              <w:jc w:val="center"/>
              <w:rPr>
                <w:b/>
                <w:sz w:val="18"/>
                <w:szCs w:val="18"/>
              </w:rPr>
            </w:pPr>
            <w:r>
              <w:rPr>
                <w:rFonts w:hint="eastAsia"/>
                <w:b/>
                <w:sz w:val="18"/>
                <w:szCs w:val="18"/>
              </w:rPr>
              <w:t>实施单位</w:t>
            </w:r>
          </w:p>
        </w:tc>
        <w:tc>
          <w:tcPr>
            <w:tcW w:w="3507" w:type="dxa"/>
            <w:gridSpan w:val="2"/>
            <w:shd w:val="clear" w:color="auto" w:fill="auto"/>
            <w:vAlign w:val="center"/>
          </w:tcPr>
          <w:p>
            <w:pPr>
              <w:jc w:val="center"/>
              <w:rPr>
                <w:sz w:val="18"/>
                <w:szCs w:val="18"/>
              </w:rPr>
            </w:pPr>
            <w:r>
              <w:rPr>
                <w:rFonts w:ascii="宋体" w:cs="宋体"/>
                <w:color w:val="000000"/>
                <w:kern w:val="0"/>
                <w:sz w:val="18"/>
                <w:szCs w:val="18"/>
                <w:highlight w:val="white"/>
              </w:rPr>
              <w:t>甘肃省教育科学研究院</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vMerge w:val="restart"/>
            <w:shd w:val="clear" w:color="auto" w:fill="auto"/>
            <w:vAlign w:val="center"/>
          </w:tcPr>
          <w:p>
            <w:pPr>
              <w:jc w:val="center"/>
              <w:rPr>
                <w:b/>
                <w:sz w:val="18"/>
                <w:szCs w:val="18"/>
              </w:rPr>
            </w:pPr>
            <w:r>
              <w:rPr>
                <w:rFonts w:hint="eastAsia"/>
                <w:b/>
                <w:sz w:val="18"/>
                <w:szCs w:val="18"/>
              </w:rPr>
              <w:t>项目金额</w:t>
            </w:r>
          </w:p>
        </w:tc>
        <w:tc>
          <w:tcPr>
            <w:tcW w:w="3028" w:type="dxa"/>
            <w:gridSpan w:val="2"/>
            <w:shd w:val="clear" w:color="auto" w:fill="auto"/>
            <w:vAlign w:val="center"/>
          </w:tcPr>
          <w:p>
            <w:pPr>
              <w:jc w:val="left"/>
              <w:rPr>
                <w:b/>
                <w:sz w:val="18"/>
                <w:szCs w:val="18"/>
              </w:rPr>
            </w:pPr>
            <w:r>
              <w:rPr>
                <w:rFonts w:hint="eastAsia"/>
                <w:b/>
                <w:sz w:val="18"/>
                <w:szCs w:val="18"/>
              </w:rPr>
              <w:t>年度资金总额：</w:t>
            </w:r>
          </w:p>
        </w:tc>
        <w:tc>
          <w:tcPr>
            <w:tcW w:w="4967" w:type="dxa"/>
            <w:gridSpan w:val="3"/>
            <w:shd w:val="clear" w:color="auto" w:fill="auto"/>
            <w:vAlign w:val="center"/>
          </w:tcPr>
          <w:p>
            <w:pPr>
              <w:jc w:val="center"/>
              <w:rPr>
                <w:sz w:val="18"/>
                <w:szCs w:val="18"/>
              </w:rPr>
            </w:pPr>
            <w:r>
              <w:rPr>
                <w:rFonts w:hint="eastAsia"/>
                <w:sz w:val="18"/>
                <w:szCs w:val="18"/>
              </w:rPr>
              <w:t>50.00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vMerge w:val="continue"/>
            <w:shd w:val="clear" w:color="auto" w:fill="auto"/>
            <w:vAlign w:val="center"/>
          </w:tcPr>
          <w:p>
            <w:pPr>
              <w:jc w:val="center"/>
              <w:rPr>
                <w:b/>
                <w:sz w:val="18"/>
                <w:szCs w:val="18"/>
              </w:rPr>
            </w:pPr>
          </w:p>
        </w:tc>
        <w:tc>
          <w:tcPr>
            <w:tcW w:w="3028" w:type="dxa"/>
            <w:gridSpan w:val="2"/>
            <w:shd w:val="clear" w:color="auto" w:fill="auto"/>
            <w:vAlign w:val="center"/>
          </w:tcPr>
          <w:p>
            <w:pPr>
              <w:jc w:val="left"/>
              <w:rPr>
                <w:b/>
                <w:sz w:val="18"/>
                <w:szCs w:val="18"/>
              </w:rPr>
            </w:pPr>
            <w:r>
              <w:rPr>
                <w:rFonts w:hint="eastAsia"/>
                <w:b/>
                <w:sz w:val="18"/>
                <w:szCs w:val="18"/>
              </w:rPr>
              <w:t xml:space="preserve">    其中：当年财政拨款</w:t>
            </w:r>
          </w:p>
        </w:tc>
        <w:tc>
          <w:tcPr>
            <w:tcW w:w="4967" w:type="dxa"/>
            <w:gridSpan w:val="3"/>
            <w:shd w:val="clear" w:color="auto" w:fill="auto"/>
            <w:vAlign w:val="center"/>
          </w:tcPr>
          <w:p>
            <w:pPr>
              <w:jc w:val="center"/>
              <w:rPr>
                <w:sz w:val="18"/>
                <w:szCs w:val="18"/>
              </w:rPr>
            </w:pPr>
            <w:r>
              <w:rPr>
                <w:rFonts w:ascii="宋体" w:cs="宋体"/>
                <w:color w:val="000000"/>
                <w:kern w:val="0"/>
                <w:sz w:val="18"/>
                <w:szCs w:val="18"/>
                <w:highlight w:val="white"/>
              </w:rPr>
              <w:t>50.00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vMerge w:val="continue"/>
            <w:shd w:val="clear" w:color="auto" w:fill="auto"/>
            <w:vAlign w:val="center"/>
          </w:tcPr>
          <w:p>
            <w:pPr>
              <w:jc w:val="center"/>
              <w:rPr>
                <w:b/>
                <w:sz w:val="18"/>
                <w:szCs w:val="18"/>
              </w:rPr>
            </w:pPr>
          </w:p>
        </w:tc>
        <w:tc>
          <w:tcPr>
            <w:tcW w:w="3028" w:type="dxa"/>
            <w:gridSpan w:val="2"/>
            <w:shd w:val="clear" w:color="auto" w:fill="auto"/>
            <w:vAlign w:val="center"/>
          </w:tcPr>
          <w:p>
            <w:pPr>
              <w:jc w:val="left"/>
              <w:rPr>
                <w:b/>
                <w:sz w:val="18"/>
                <w:szCs w:val="18"/>
              </w:rPr>
            </w:pPr>
            <w:r>
              <w:rPr>
                <w:rFonts w:hint="eastAsia"/>
                <w:b/>
                <w:sz w:val="18"/>
                <w:szCs w:val="18"/>
              </w:rPr>
              <w:t xml:space="preserve">           上年结转资金</w:t>
            </w:r>
          </w:p>
        </w:tc>
        <w:tc>
          <w:tcPr>
            <w:tcW w:w="4967" w:type="dxa"/>
            <w:gridSpan w:val="3"/>
            <w:shd w:val="clear" w:color="auto" w:fill="auto"/>
            <w:vAlign w:val="center"/>
          </w:tcPr>
          <w:p>
            <w:pPr>
              <w:jc w:val="center"/>
              <w:rPr>
                <w:sz w:val="18"/>
                <w:szCs w:val="18"/>
              </w:rPr>
            </w:pPr>
            <w:r>
              <w:rPr>
                <w:rFonts w:ascii="宋体" w:cs="宋体"/>
                <w:color w:val="000000"/>
                <w:kern w:val="0"/>
                <w:sz w:val="18"/>
                <w:szCs w:val="18"/>
                <w:highlight w:val="white"/>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1526" w:type="dxa"/>
            <w:vMerge w:val="continue"/>
            <w:shd w:val="clear" w:color="auto" w:fill="auto"/>
            <w:vAlign w:val="center"/>
          </w:tcPr>
          <w:p>
            <w:pPr>
              <w:jc w:val="center"/>
              <w:rPr>
                <w:b/>
                <w:sz w:val="18"/>
                <w:szCs w:val="18"/>
              </w:rPr>
            </w:pPr>
          </w:p>
        </w:tc>
        <w:tc>
          <w:tcPr>
            <w:tcW w:w="3028" w:type="dxa"/>
            <w:gridSpan w:val="2"/>
            <w:shd w:val="clear" w:color="auto" w:fill="auto"/>
            <w:vAlign w:val="center"/>
          </w:tcPr>
          <w:p>
            <w:pPr>
              <w:jc w:val="left"/>
              <w:rPr>
                <w:b/>
                <w:sz w:val="18"/>
                <w:szCs w:val="18"/>
              </w:rPr>
            </w:pPr>
            <w:r>
              <w:rPr>
                <w:rFonts w:hint="eastAsia"/>
                <w:b/>
                <w:sz w:val="18"/>
                <w:szCs w:val="18"/>
              </w:rPr>
              <w:t xml:space="preserve">            其他资金</w:t>
            </w:r>
          </w:p>
        </w:tc>
        <w:tc>
          <w:tcPr>
            <w:tcW w:w="4967" w:type="dxa"/>
            <w:gridSpan w:val="3"/>
            <w:shd w:val="clear" w:color="auto" w:fill="auto"/>
            <w:vAlign w:val="center"/>
          </w:tcPr>
          <w:p>
            <w:pPr>
              <w:jc w:val="center"/>
              <w:rPr>
                <w:sz w:val="18"/>
                <w:szCs w:val="18"/>
              </w:rPr>
            </w:pPr>
            <w:r>
              <w:rPr>
                <w:rFonts w:hint="eastAsia"/>
                <w:sz w:val="18"/>
                <w:szCs w:val="18"/>
              </w:rPr>
              <w:t>0.00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985" w:hRule="atLeast"/>
        </w:trPr>
        <w:tc>
          <w:tcPr>
            <w:tcW w:w="1526" w:type="dxa"/>
            <w:shd w:val="clear" w:color="auto" w:fill="auto"/>
            <w:vAlign w:val="center"/>
          </w:tcPr>
          <w:p>
            <w:pPr>
              <w:jc w:val="center"/>
              <w:rPr>
                <w:b/>
                <w:sz w:val="18"/>
                <w:szCs w:val="18"/>
              </w:rPr>
            </w:pPr>
            <w:r>
              <w:rPr>
                <w:rFonts w:hint="eastAsia"/>
                <w:b/>
                <w:sz w:val="18"/>
                <w:szCs w:val="18"/>
              </w:rPr>
              <w:t>总体目标</w:t>
            </w:r>
          </w:p>
        </w:tc>
        <w:tc>
          <w:tcPr>
            <w:tcW w:w="7995" w:type="dxa"/>
            <w:gridSpan w:val="5"/>
            <w:shd w:val="clear" w:color="auto" w:fill="auto"/>
            <w:vAlign w:val="center"/>
          </w:tcPr>
          <w:p>
            <w:pPr>
              <w:rPr>
                <w:b/>
                <w:sz w:val="18"/>
                <w:szCs w:val="18"/>
              </w:rPr>
            </w:pPr>
            <w:r>
              <w:rPr>
                <w:rFonts w:hint="eastAsia"/>
                <w:color w:val="000000"/>
                <w:sz w:val="18"/>
                <w:szCs w:val="18"/>
              </w:rPr>
              <w:t>1.形成心理健康特色校和标准化心理健康咨询室评审过程性资料；2.总结提炼典型经验，生成典型案例文本；3.充分开展交流汇报，引领全省中小学心理健康教育工作发展；</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shd w:val="clear" w:color="auto" w:fill="auto"/>
            <w:vAlign w:val="center"/>
          </w:tcPr>
          <w:p>
            <w:pPr>
              <w:jc w:val="center"/>
              <w:rPr>
                <w:b/>
                <w:sz w:val="18"/>
                <w:szCs w:val="18"/>
              </w:rPr>
            </w:pPr>
            <w:r>
              <w:rPr>
                <w:rFonts w:hint="eastAsia"/>
                <w:b/>
                <w:sz w:val="18"/>
                <w:szCs w:val="18"/>
              </w:rPr>
              <w:t>一级指标</w:t>
            </w:r>
          </w:p>
        </w:tc>
        <w:tc>
          <w:tcPr>
            <w:tcW w:w="1701" w:type="dxa"/>
            <w:shd w:val="clear" w:color="auto" w:fill="auto"/>
            <w:vAlign w:val="center"/>
          </w:tcPr>
          <w:p>
            <w:pPr>
              <w:jc w:val="center"/>
              <w:rPr>
                <w:b/>
                <w:sz w:val="18"/>
                <w:szCs w:val="18"/>
              </w:rPr>
            </w:pPr>
            <w:r>
              <w:rPr>
                <w:rFonts w:hint="eastAsia"/>
                <w:b/>
                <w:sz w:val="18"/>
                <w:szCs w:val="18"/>
              </w:rPr>
              <w:t>二级指标</w:t>
            </w:r>
          </w:p>
        </w:tc>
        <w:tc>
          <w:tcPr>
            <w:tcW w:w="4252" w:type="dxa"/>
            <w:gridSpan w:val="3"/>
            <w:shd w:val="clear" w:color="auto" w:fill="auto"/>
            <w:vAlign w:val="center"/>
          </w:tcPr>
          <w:p>
            <w:pPr>
              <w:jc w:val="center"/>
              <w:rPr>
                <w:b/>
                <w:sz w:val="18"/>
                <w:szCs w:val="18"/>
              </w:rPr>
            </w:pPr>
            <w:r>
              <w:rPr>
                <w:rFonts w:hint="eastAsia"/>
                <w:b/>
                <w:sz w:val="18"/>
                <w:szCs w:val="18"/>
              </w:rPr>
              <w:t>三级指标</w:t>
            </w:r>
          </w:p>
        </w:tc>
        <w:tc>
          <w:tcPr>
            <w:tcW w:w="2042" w:type="dxa"/>
            <w:shd w:val="clear" w:color="auto" w:fill="auto"/>
            <w:vAlign w:val="center"/>
          </w:tcPr>
          <w:p>
            <w:pPr>
              <w:jc w:val="center"/>
              <w:rPr>
                <w:b/>
                <w:sz w:val="18"/>
                <w:szCs w:val="18"/>
              </w:rPr>
            </w:pPr>
            <w:r>
              <w:rPr>
                <w:rFonts w:hint="eastAsia"/>
                <w:b/>
                <w:sz w:val="18"/>
                <w:szCs w:val="18"/>
              </w:rPr>
              <w:t>指标目标值</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restart"/>
            <w:shd w:val="clear" w:color="auto" w:fill="auto"/>
            <w:vAlign w:val="center"/>
          </w:tcPr>
          <w:p>
            <w:pPr>
              <w:jc w:val="center"/>
              <w:rPr>
                <w:sz w:val="18"/>
                <w:szCs w:val="18"/>
              </w:rPr>
            </w:pPr>
            <w:r>
              <w:rPr>
                <w:rFonts w:hint="eastAsia"/>
                <w:sz w:val="18"/>
                <w:szCs w:val="18"/>
              </w:rPr>
              <w:t>产出指标</w:t>
            </w:r>
          </w:p>
        </w:tc>
        <w:tc>
          <w:tcPr>
            <w:tcW w:w="1701" w:type="dxa"/>
            <w:vMerge w:val="restart"/>
            <w:shd w:val="clear" w:color="auto" w:fill="auto"/>
            <w:vAlign w:val="center"/>
          </w:tcPr>
          <w:p>
            <w:pPr>
              <w:jc w:val="center"/>
              <w:rPr>
                <w:sz w:val="18"/>
                <w:szCs w:val="18"/>
              </w:rPr>
            </w:pPr>
            <w:r>
              <w:rPr>
                <w:rFonts w:hint="eastAsia"/>
                <w:sz w:val="18"/>
                <w:szCs w:val="18"/>
              </w:rPr>
              <w:t>数量指标</w:t>
            </w:r>
          </w:p>
        </w:tc>
        <w:tc>
          <w:tcPr>
            <w:tcW w:w="4252" w:type="dxa"/>
            <w:gridSpan w:val="3"/>
            <w:shd w:val="clear" w:color="auto" w:fill="auto"/>
            <w:vAlign w:val="center"/>
          </w:tcPr>
          <w:p>
            <w:pPr>
              <w:jc w:val="left"/>
              <w:rPr>
                <w:sz w:val="18"/>
                <w:szCs w:val="18"/>
              </w:rPr>
            </w:pPr>
            <w:r>
              <w:rPr>
                <w:rFonts w:hint="eastAsia"/>
                <w:sz w:val="18"/>
                <w:szCs w:val="18"/>
              </w:rPr>
              <w:t>培育心理健康特色校</w:t>
            </w:r>
          </w:p>
        </w:tc>
        <w:tc>
          <w:tcPr>
            <w:tcW w:w="2042" w:type="dxa"/>
            <w:shd w:val="clear" w:color="auto" w:fill="auto"/>
            <w:vAlign w:val="center"/>
          </w:tcPr>
          <w:p>
            <w:pPr>
              <w:jc w:val="center"/>
              <w:rPr>
                <w:sz w:val="18"/>
                <w:szCs w:val="18"/>
              </w:rPr>
            </w:pPr>
            <w:r>
              <w:rPr>
                <w:rFonts w:hint="eastAsia"/>
                <w:sz w:val="18"/>
                <w:szCs w:val="18"/>
              </w:rPr>
              <w:t>≥100个</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continue"/>
            <w:shd w:val="clear" w:color="auto" w:fill="auto"/>
            <w:vAlign w:val="center"/>
          </w:tcPr>
          <w:p>
            <w:pPr>
              <w:jc w:val="center"/>
              <w:rPr>
                <w:sz w:val="18"/>
                <w:szCs w:val="18"/>
              </w:rPr>
            </w:pPr>
          </w:p>
        </w:tc>
        <w:tc>
          <w:tcPr>
            <w:tcW w:w="4252" w:type="dxa"/>
            <w:gridSpan w:val="3"/>
            <w:shd w:val="clear" w:color="auto" w:fill="auto"/>
            <w:vAlign w:val="center"/>
          </w:tcPr>
          <w:p>
            <w:pPr>
              <w:jc w:val="left"/>
              <w:rPr>
                <w:sz w:val="18"/>
                <w:szCs w:val="18"/>
              </w:rPr>
            </w:pPr>
            <w:r>
              <w:rPr>
                <w:rFonts w:hint="eastAsia"/>
                <w:sz w:val="18"/>
                <w:szCs w:val="18"/>
              </w:rPr>
              <w:t>培育标准化心理健康咨询室</w:t>
            </w:r>
          </w:p>
        </w:tc>
        <w:tc>
          <w:tcPr>
            <w:tcW w:w="2042" w:type="dxa"/>
            <w:shd w:val="clear" w:color="auto" w:fill="auto"/>
            <w:vAlign w:val="center"/>
          </w:tcPr>
          <w:p>
            <w:pPr>
              <w:jc w:val="center"/>
              <w:rPr>
                <w:sz w:val="18"/>
                <w:szCs w:val="18"/>
              </w:rPr>
            </w:pPr>
            <w:r>
              <w:rPr>
                <w:rFonts w:hint="eastAsia"/>
                <w:sz w:val="18"/>
                <w:szCs w:val="18"/>
              </w:rPr>
              <w:t>≥100个</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continue"/>
            <w:shd w:val="clear" w:color="auto" w:fill="auto"/>
            <w:vAlign w:val="center"/>
          </w:tcPr>
          <w:p>
            <w:pPr>
              <w:jc w:val="center"/>
              <w:rPr>
                <w:sz w:val="18"/>
                <w:szCs w:val="18"/>
              </w:rPr>
            </w:pPr>
          </w:p>
        </w:tc>
        <w:tc>
          <w:tcPr>
            <w:tcW w:w="4252" w:type="dxa"/>
            <w:gridSpan w:val="3"/>
            <w:shd w:val="clear" w:color="auto" w:fill="auto"/>
            <w:vAlign w:val="center"/>
          </w:tcPr>
          <w:p>
            <w:pPr>
              <w:jc w:val="left"/>
              <w:rPr>
                <w:sz w:val="18"/>
                <w:szCs w:val="18"/>
              </w:rPr>
            </w:pPr>
            <w:r>
              <w:rPr>
                <w:rFonts w:hint="eastAsia"/>
                <w:sz w:val="18"/>
                <w:szCs w:val="18"/>
              </w:rPr>
              <w:t>心理健康精品课</w:t>
            </w:r>
          </w:p>
        </w:tc>
        <w:tc>
          <w:tcPr>
            <w:tcW w:w="2042" w:type="dxa"/>
            <w:shd w:val="clear" w:color="auto" w:fill="auto"/>
            <w:vAlign w:val="center"/>
          </w:tcPr>
          <w:p>
            <w:pPr>
              <w:jc w:val="center"/>
              <w:rPr>
                <w:sz w:val="18"/>
                <w:szCs w:val="18"/>
              </w:rPr>
            </w:pPr>
            <w:r>
              <w:rPr>
                <w:rFonts w:hint="eastAsia"/>
                <w:sz w:val="18"/>
                <w:szCs w:val="18"/>
              </w:rPr>
              <w:t>≥100节</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restart"/>
            <w:shd w:val="clear" w:color="auto" w:fill="auto"/>
            <w:vAlign w:val="center"/>
          </w:tcPr>
          <w:p>
            <w:pPr>
              <w:jc w:val="center"/>
              <w:rPr>
                <w:sz w:val="18"/>
                <w:szCs w:val="18"/>
              </w:rPr>
            </w:pPr>
            <w:r>
              <w:rPr>
                <w:rFonts w:hint="eastAsia"/>
                <w:sz w:val="18"/>
                <w:szCs w:val="18"/>
              </w:rPr>
              <w:t>质量指标</w:t>
            </w:r>
          </w:p>
        </w:tc>
        <w:tc>
          <w:tcPr>
            <w:tcW w:w="4252" w:type="dxa"/>
            <w:gridSpan w:val="3"/>
            <w:shd w:val="clear" w:color="auto" w:fill="auto"/>
            <w:vAlign w:val="center"/>
          </w:tcPr>
          <w:p>
            <w:pPr>
              <w:jc w:val="left"/>
              <w:rPr>
                <w:sz w:val="18"/>
                <w:szCs w:val="18"/>
              </w:rPr>
            </w:pPr>
            <w:r>
              <w:rPr>
                <w:rFonts w:hint="eastAsia"/>
                <w:sz w:val="18"/>
                <w:szCs w:val="18"/>
              </w:rPr>
              <w:t>“标准化心理健康咨询室”评估</w:t>
            </w:r>
          </w:p>
        </w:tc>
        <w:tc>
          <w:tcPr>
            <w:tcW w:w="2042" w:type="dxa"/>
            <w:shd w:val="clear" w:color="auto" w:fill="auto"/>
            <w:vAlign w:val="center"/>
          </w:tcPr>
          <w:p>
            <w:pPr>
              <w:jc w:val="center"/>
              <w:rPr>
                <w:sz w:val="18"/>
                <w:szCs w:val="18"/>
              </w:rPr>
            </w:pPr>
            <w:r>
              <w:rPr>
                <w:rFonts w:hint="eastAsia"/>
                <w:sz w:val="18"/>
                <w:szCs w:val="18"/>
              </w:rPr>
              <w:t>真实</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continue"/>
            <w:shd w:val="clear" w:color="auto" w:fill="auto"/>
            <w:vAlign w:val="center"/>
          </w:tcPr>
          <w:p>
            <w:pPr>
              <w:jc w:val="center"/>
              <w:rPr>
                <w:sz w:val="18"/>
                <w:szCs w:val="18"/>
              </w:rPr>
            </w:pPr>
          </w:p>
        </w:tc>
        <w:tc>
          <w:tcPr>
            <w:tcW w:w="4252" w:type="dxa"/>
            <w:gridSpan w:val="3"/>
            <w:shd w:val="clear" w:color="auto" w:fill="auto"/>
            <w:vAlign w:val="center"/>
          </w:tcPr>
          <w:p>
            <w:pPr>
              <w:jc w:val="left"/>
              <w:rPr>
                <w:sz w:val="18"/>
                <w:szCs w:val="18"/>
              </w:rPr>
            </w:pPr>
            <w:r>
              <w:rPr>
                <w:rFonts w:hint="eastAsia"/>
                <w:sz w:val="18"/>
                <w:szCs w:val="18"/>
              </w:rPr>
              <w:t>“心理健康”一校一案特色</w:t>
            </w:r>
          </w:p>
        </w:tc>
        <w:tc>
          <w:tcPr>
            <w:tcW w:w="2042" w:type="dxa"/>
            <w:shd w:val="clear" w:color="auto" w:fill="auto"/>
            <w:vAlign w:val="center"/>
          </w:tcPr>
          <w:p>
            <w:pPr>
              <w:jc w:val="center"/>
              <w:rPr>
                <w:sz w:val="18"/>
                <w:szCs w:val="18"/>
              </w:rPr>
            </w:pPr>
            <w:r>
              <w:rPr>
                <w:rFonts w:hint="eastAsia"/>
                <w:sz w:val="18"/>
                <w:szCs w:val="18"/>
              </w:rPr>
              <w:t>客观公正</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continue"/>
            <w:shd w:val="clear" w:color="auto" w:fill="auto"/>
            <w:vAlign w:val="center"/>
          </w:tcPr>
          <w:p>
            <w:pPr>
              <w:jc w:val="center"/>
              <w:rPr>
                <w:sz w:val="18"/>
                <w:szCs w:val="18"/>
              </w:rPr>
            </w:pPr>
          </w:p>
        </w:tc>
        <w:tc>
          <w:tcPr>
            <w:tcW w:w="1701" w:type="dxa"/>
            <w:vMerge w:val="restart"/>
            <w:shd w:val="clear" w:color="auto" w:fill="auto"/>
            <w:vAlign w:val="center"/>
          </w:tcPr>
          <w:p>
            <w:pPr>
              <w:jc w:val="center"/>
              <w:rPr>
                <w:sz w:val="18"/>
                <w:szCs w:val="18"/>
              </w:rPr>
            </w:pPr>
            <w:r>
              <w:rPr>
                <w:rFonts w:hint="eastAsia"/>
                <w:sz w:val="18"/>
                <w:szCs w:val="18"/>
              </w:rPr>
              <w:t>时效指标</w:t>
            </w:r>
          </w:p>
        </w:tc>
        <w:tc>
          <w:tcPr>
            <w:tcW w:w="4252" w:type="dxa"/>
            <w:gridSpan w:val="3"/>
            <w:shd w:val="clear" w:color="auto" w:fill="auto"/>
            <w:vAlign w:val="center"/>
          </w:tcPr>
          <w:p>
            <w:pPr>
              <w:jc w:val="left"/>
              <w:rPr>
                <w:sz w:val="18"/>
                <w:szCs w:val="18"/>
              </w:rPr>
            </w:pPr>
            <w:r>
              <w:rPr>
                <w:rFonts w:hint="eastAsia"/>
                <w:sz w:val="18"/>
                <w:szCs w:val="18"/>
              </w:rPr>
              <w:t>项目完成及时率</w:t>
            </w:r>
          </w:p>
        </w:tc>
        <w:tc>
          <w:tcPr>
            <w:tcW w:w="2042" w:type="dxa"/>
            <w:shd w:val="clear" w:color="auto" w:fill="auto"/>
            <w:vAlign w:val="center"/>
          </w:tcPr>
          <w:p>
            <w:pPr>
              <w:jc w:val="center"/>
              <w:rPr>
                <w:sz w:val="18"/>
                <w:szCs w:val="18"/>
              </w:rPr>
            </w:pPr>
            <w:r>
              <w:rPr>
                <w:rFonts w:hint="eastAsia"/>
                <w:sz w:val="18"/>
                <w:szCs w:val="18"/>
              </w:rPr>
              <w:t>=100%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restart"/>
            <w:shd w:val="clear" w:color="auto" w:fill="auto"/>
            <w:vAlign w:val="center"/>
          </w:tcPr>
          <w:p>
            <w:pPr>
              <w:jc w:val="center"/>
              <w:rPr>
                <w:sz w:val="18"/>
                <w:szCs w:val="18"/>
              </w:rPr>
            </w:pPr>
            <w:r>
              <w:rPr>
                <w:rFonts w:hint="eastAsia"/>
                <w:sz w:val="18"/>
                <w:szCs w:val="18"/>
              </w:rPr>
              <w:t>效益指标</w:t>
            </w:r>
          </w:p>
        </w:tc>
        <w:tc>
          <w:tcPr>
            <w:tcW w:w="1701" w:type="dxa"/>
            <w:vMerge w:val="restart"/>
            <w:shd w:val="clear" w:color="auto" w:fill="auto"/>
            <w:vAlign w:val="center"/>
          </w:tcPr>
          <w:p>
            <w:pPr>
              <w:jc w:val="center"/>
              <w:rPr>
                <w:sz w:val="18"/>
                <w:szCs w:val="18"/>
              </w:rPr>
            </w:pPr>
            <w:r>
              <w:rPr>
                <w:rFonts w:hint="eastAsia"/>
                <w:sz w:val="18"/>
                <w:szCs w:val="18"/>
              </w:rPr>
              <w:t>社会效益指标</w:t>
            </w:r>
          </w:p>
        </w:tc>
        <w:tc>
          <w:tcPr>
            <w:tcW w:w="4252" w:type="dxa"/>
            <w:gridSpan w:val="3"/>
            <w:shd w:val="clear" w:color="auto" w:fill="auto"/>
            <w:vAlign w:val="center"/>
          </w:tcPr>
          <w:p>
            <w:pPr>
              <w:jc w:val="left"/>
              <w:rPr>
                <w:sz w:val="18"/>
                <w:szCs w:val="18"/>
              </w:rPr>
            </w:pPr>
            <w:r>
              <w:rPr>
                <w:rFonts w:hint="eastAsia"/>
                <w:sz w:val="18"/>
                <w:szCs w:val="18"/>
              </w:rPr>
              <w:t>心理典型案例</w:t>
            </w:r>
          </w:p>
        </w:tc>
        <w:tc>
          <w:tcPr>
            <w:tcW w:w="2042" w:type="dxa"/>
            <w:shd w:val="clear" w:color="auto" w:fill="auto"/>
            <w:vAlign w:val="center"/>
          </w:tcPr>
          <w:p>
            <w:pPr>
              <w:jc w:val="center"/>
              <w:rPr>
                <w:sz w:val="18"/>
                <w:szCs w:val="18"/>
              </w:rPr>
            </w:pPr>
            <w:r>
              <w:rPr>
                <w:rFonts w:hint="eastAsia"/>
                <w:sz w:val="18"/>
                <w:szCs w:val="18"/>
              </w:rPr>
              <w:t>宣传推广</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vMerge w:val="restart"/>
            <w:shd w:val="clear" w:color="auto" w:fill="auto"/>
            <w:vAlign w:val="center"/>
          </w:tcPr>
          <w:p>
            <w:pPr>
              <w:jc w:val="center"/>
              <w:rPr>
                <w:sz w:val="18"/>
                <w:szCs w:val="18"/>
              </w:rPr>
            </w:pPr>
            <w:r>
              <w:rPr>
                <w:rFonts w:hint="eastAsia"/>
                <w:sz w:val="18"/>
                <w:szCs w:val="18"/>
              </w:rPr>
              <w:t>满意度指标</w:t>
            </w:r>
          </w:p>
        </w:tc>
        <w:tc>
          <w:tcPr>
            <w:tcW w:w="1701" w:type="dxa"/>
            <w:vMerge w:val="restart"/>
            <w:shd w:val="clear" w:color="auto" w:fill="auto"/>
            <w:vAlign w:val="center"/>
          </w:tcPr>
          <w:p>
            <w:pPr>
              <w:jc w:val="center"/>
              <w:rPr>
                <w:sz w:val="18"/>
                <w:szCs w:val="18"/>
              </w:rPr>
            </w:pPr>
            <w:r>
              <w:rPr>
                <w:rFonts w:hint="eastAsia"/>
                <w:sz w:val="18"/>
                <w:szCs w:val="18"/>
              </w:rPr>
              <w:t>服务对象满意度指标</w:t>
            </w:r>
          </w:p>
        </w:tc>
        <w:tc>
          <w:tcPr>
            <w:tcW w:w="4252" w:type="dxa"/>
            <w:gridSpan w:val="3"/>
            <w:shd w:val="clear" w:color="auto" w:fill="auto"/>
            <w:vAlign w:val="center"/>
          </w:tcPr>
          <w:p>
            <w:pPr>
              <w:jc w:val="left"/>
              <w:rPr>
                <w:sz w:val="18"/>
                <w:szCs w:val="18"/>
              </w:rPr>
            </w:pPr>
            <w:r>
              <w:rPr>
                <w:rFonts w:hint="eastAsia"/>
                <w:sz w:val="18"/>
                <w:szCs w:val="18"/>
              </w:rPr>
              <w:t>学校满意度</w:t>
            </w:r>
          </w:p>
        </w:tc>
        <w:tc>
          <w:tcPr>
            <w:tcW w:w="2042" w:type="dxa"/>
            <w:shd w:val="clear" w:color="auto" w:fill="auto"/>
            <w:vAlign w:val="center"/>
          </w:tcPr>
          <w:p>
            <w:pPr>
              <w:jc w:val="center"/>
              <w:rPr>
                <w:sz w:val="18"/>
                <w:szCs w:val="18"/>
              </w:rPr>
            </w:pPr>
            <w:r>
              <w:rPr>
                <w:rFonts w:hint="eastAsia"/>
                <w:sz w:val="18"/>
                <w:szCs w:val="18"/>
              </w:rPr>
              <w:t>≥90%</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72" w:hRule="atLeast"/>
        </w:trPr>
        <w:tc>
          <w:tcPr>
            <w:tcW w:w="1526" w:type="dxa"/>
            <w:shd w:val="clear" w:color="auto" w:fill="auto"/>
            <w:vAlign w:val="center"/>
          </w:tcPr>
          <w:p>
            <w:pPr>
              <w:jc w:val="center"/>
              <w:rPr>
                <w:sz w:val="18"/>
                <w:szCs w:val="18"/>
              </w:rPr>
            </w:pPr>
            <w:r>
              <w:rPr>
                <w:rFonts w:hint="eastAsia"/>
                <w:sz w:val="18"/>
                <w:szCs w:val="18"/>
              </w:rPr>
              <w:t>成本指标</w:t>
            </w:r>
          </w:p>
        </w:tc>
        <w:tc>
          <w:tcPr>
            <w:tcW w:w="1701" w:type="dxa"/>
            <w:shd w:val="clear" w:color="auto" w:fill="auto"/>
            <w:vAlign w:val="center"/>
          </w:tcPr>
          <w:p>
            <w:pPr>
              <w:jc w:val="center"/>
              <w:rPr>
                <w:sz w:val="18"/>
                <w:szCs w:val="18"/>
              </w:rPr>
            </w:pPr>
            <w:r>
              <w:rPr>
                <w:rFonts w:hint="eastAsia"/>
                <w:sz w:val="18"/>
                <w:szCs w:val="18"/>
              </w:rPr>
              <w:t>经济成本指标</w:t>
            </w:r>
          </w:p>
        </w:tc>
        <w:tc>
          <w:tcPr>
            <w:tcW w:w="4252" w:type="dxa"/>
            <w:gridSpan w:val="3"/>
            <w:shd w:val="clear" w:color="auto" w:fill="auto"/>
            <w:vAlign w:val="center"/>
          </w:tcPr>
          <w:p>
            <w:pPr>
              <w:jc w:val="left"/>
              <w:rPr>
                <w:sz w:val="18"/>
                <w:szCs w:val="18"/>
              </w:rPr>
            </w:pPr>
            <w:r>
              <w:rPr>
                <w:rFonts w:hint="eastAsia"/>
                <w:sz w:val="18"/>
                <w:szCs w:val="18"/>
              </w:rPr>
              <w:t>成本控制率</w:t>
            </w:r>
          </w:p>
        </w:tc>
        <w:tc>
          <w:tcPr>
            <w:tcW w:w="2042" w:type="dxa"/>
            <w:shd w:val="clear" w:color="auto" w:fill="auto"/>
            <w:vAlign w:val="center"/>
          </w:tcPr>
          <w:p>
            <w:pPr>
              <w:jc w:val="center"/>
              <w:rPr>
                <w:sz w:val="18"/>
                <w:szCs w:val="18"/>
              </w:rPr>
            </w:pPr>
            <w:r>
              <w:rPr>
                <w:rFonts w:hint="eastAsia"/>
                <w:sz w:val="18"/>
                <w:szCs w:val="18"/>
              </w:rPr>
              <w:t>≤100%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CIDFont+F6">
    <w:altName w:val="Times New Roman"/>
    <w:panose1 w:val="00000000000000000000"/>
    <w:charset w:val="00"/>
    <w:family w:val="roman"/>
    <w:pitch w:val="default"/>
    <w:sig w:usb0="00000000" w:usb1="00000000" w:usb2="00000000" w:usb3="00000000" w:csb0="00000000" w:csb1="00000000"/>
  </w:font>
  <w:font w:name="CIDFont+F4">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7AAA8"/>
    <w:multiLevelType w:val="singleLevel"/>
    <w:tmpl w:val="6DB7AA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62"/>
    <w:rsid w:val="00030F4C"/>
    <w:rsid w:val="000368FE"/>
    <w:rsid w:val="00042A06"/>
    <w:rsid w:val="000547D1"/>
    <w:rsid w:val="00055759"/>
    <w:rsid w:val="000612EE"/>
    <w:rsid w:val="00061BAF"/>
    <w:rsid w:val="00076B62"/>
    <w:rsid w:val="0009273A"/>
    <w:rsid w:val="000C2B7F"/>
    <w:rsid w:val="000D0130"/>
    <w:rsid w:val="000E0CEA"/>
    <w:rsid w:val="001272E5"/>
    <w:rsid w:val="00127D01"/>
    <w:rsid w:val="001374F5"/>
    <w:rsid w:val="00152FDC"/>
    <w:rsid w:val="00156619"/>
    <w:rsid w:val="001700B4"/>
    <w:rsid w:val="001A71AF"/>
    <w:rsid w:val="001E17E4"/>
    <w:rsid w:val="002033EA"/>
    <w:rsid w:val="00214046"/>
    <w:rsid w:val="0023681E"/>
    <w:rsid w:val="00265C3D"/>
    <w:rsid w:val="002754B3"/>
    <w:rsid w:val="0028392B"/>
    <w:rsid w:val="002A0AE2"/>
    <w:rsid w:val="002A3A19"/>
    <w:rsid w:val="002B2833"/>
    <w:rsid w:val="002B7BA1"/>
    <w:rsid w:val="002F4ED9"/>
    <w:rsid w:val="002F7FA5"/>
    <w:rsid w:val="003017F4"/>
    <w:rsid w:val="00306B68"/>
    <w:rsid w:val="00343A8E"/>
    <w:rsid w:val="00345713"/>
    <w:rsid w:val="0036367B"/>
    <w:rsid w:val="00367EF1"/>
    <w:rsid w:val="00372734"/>
    <w:rsid w:val="00372A33"/>
    <w:rsid w:val="0037374A"/>
    <w:rsid w:val="00383733"/>
    <w:rsid w:val="00392E2B"/>
    <w:rsid w:val="003A396F"/>
    <w:rsid w:val="003A7A18"/>
    <w:rsid w:val="003B327A"/>
    <w:rsid w:val="003B76D2"/>
    <w:rsid w:val="003E3B0A"/>
    <w:rsid w:val="0040581D"/>
    <w:rsid w:val="00427875"/>
    <w:rsid w:val="0043556D"/>
    <w:rsid w:val="0043739B"/>
    <w:rsid w:val="00441579"/>
    <w:rsid w:val="00444E29"/>
    <w:rsid w:val="00445789"/>
    <w:rsid w:val="00481F19"/>
    <w:rsid w:val="004D44D2"/>
    <w:rsid w:val="004F73BD"/>
    <w:rsid w:val="00523062"/>
    <w:rsid w:val="00532434"/>
    <w:rsid w:val="005E7AD6"/>
    <w:rsid w:val="00605D22"/>
    <w:rsid w:val="00620A03"/>
    <w:rsid w:val="00621126"/>
    <w:rsid w:val="0062145A"/>
    <w:rsid w:val="00633C60"/>
    <w:rsid w:val="00645C9F"/>
    <w:rsid w:val="006727B6"/>
    <w:rsid w:val="00674396"/>
    <w:rsid w:val="006849AD"/>
    <w:rsid w:val="006853A7"/>
    <w:rsid w:val="006A0492"/>
    <w:rsid w:val="006A6E23"/>
    <w:rsid w:val="006A6EE3"/>
    <w:rsid w:val="006C4D2E"/>
    <w:rsid w:val="006D3D60"/>
    <w:rsid w:val="006E4A2C"/>
    <w:rsid w:val="006E71EA"/>
    <w:rsid w:val="00706BB4"/>
    <w:rsid w:val="00725205"/>
    <w:rsid w:val="0074091B"/>
    <w:rsid w:val="00740927"/>
    <w:rsid w:val="00744302"/>
    <w:rsid w:val="00777EA3"/>
    <w:rsid w:val="007933F9"/>
    <w:rsid w:val="00793C7B"/>
    <w:rsid w:val="007C6434"/>
    <w:rsid w:val="007C6E07"/>
    <w:rsid w:val="007D69F8"/>
    <w:rsid w:val="007E4819"/>
    <w:rsid w:val="007E7289"/>
    <w:rsid w:val="00843692"/>
    <w:rsid w:val="0085287C"/>
    <w:rsid w:val="008559B6"/>
    <w:rsid w:val="0085612E"/>
    <w:rsid w:val="00880868"/>
    <w:rsid w:val="008C204C"/>
    <w:rsid w:val="008C2625"/>
    <w:rsid w:val="009335E0"/>
    <w:rsid w:val="00982EAB"/>
    <w:rsid w:val="00991480"/>
    <w:rsid w:val="0099643D"/>
    <w:rsid w:val="009A0F79"/>
    <w:rsid w:val="009B18AA"/>
    <w:rsid w:val="00A21F48"/>
    <w:rsid w:val="00A46C1F"/>
    <w:rsid w:val="00A56424"/>
    <w:rsid w:val="00A5653E"/>
    <w:rsid w:val="00A82942"/>
    <w:rsid w:val="00AB67AA"/>
    <w:rsid w:val="00AC2FD6"/>
    <w:rsid w:val="00AC78FC"/>
    <w:rsid w:val="00AD07F5"/>
    <w:rsid w:val="00B278DE"/>
    <w:rsid w:val="00B30287"/>
    <w:rsid w:val="00B36E7A"/>
    <w:rsid w:val="00B40825"/>
    <w:rsid w:val="00B86D86"/>
    <w:rsid w:val="00BB6B55"/>
    <w:rsid w:val="00BC1FD9"/>
    <w:rsid w:val="00BD7FD7"/>
    <w:rsid w:val="00C35018"/>
    <w:rsid w:val="00C519B5"/>
    <w:rsid w:val="00C764B7"/>
    <w:rsid w:val="00CD255A"/>
    <w:rsid w:val="00CD3801"/>
    <w:rsid w:val="00CE2CE4"/>
    <w:rsid w:val="00D14955"/>
    <w:rsid w:val="00D24CD6"/>
    <w:rsid w:val="00D544D2"/>
    <w:rsid w:val="00D84D5B"/>
    <w:rsid w:val="00D90C73"/>
    <w:rsid w:val="00D94FFD"/>
    <w:rsid w:val="00DB4AF2"/>
    <w:rsid w:val="00DC651F"/>
    <w:rsid w:val="00DC7D6D"/>
    <w:rsid w:val="00DD2B43"/>
    <w:rsid w:val="00DD2CF8"/>
    <w:rsid w:val="00DF3482"/>
    <w:rsid w:val="00DF450F"/>
    <w:rsid w:val="00E24179"/>
    <w:rsid w:val="00E31783"/>
    <w:rsid w:val="00E44D37"/>
    <w:rsid w:val="00E524DE"/>
    <w:rsid w:val="00E609A5"/>
    <w:rsid w:val="00E64D10"/>
    <w:rsid w:val="00EA0646"/>
    <w:rsid w:val="00EC325A"/>
    <w:rsid w:val="00EC57F0"/>
    <w:rsid w:val="00EF6C4C"/>
    <w:rsid w:val="00F075D2"/>
    <w:rsid w:val="00F11811"/>
    <w:rsid w:val="00F20178"/>
    <w:rsid w:val="00F23C6C"/>
    <w:rsid w:val="00F2495A"/>
    <w:rsid w:val="00F4605D"/>
    <w:rsid w:val="00F51EF5"/>
    <w:rsid w:val="00F52B77"/>
    <w:rsid w:val="00F74928"/>
    <w:rsid w:val="00F8197E"/>
    <w:rsid w:val="00F833B1"/>
    <w:rsid w:val="00FB2163"/>
    <w:rsid w:val="00FB4362"/>
    <w:rsid w:val="00FB7144"/>
    <w:rsid w:val="00FE0E46"/>
    <w:rsid w:val="00FF0AEC"/>
    <w:rsid w:val="020A1172"/>
    <w:rsid w:val="028B03B1"/>
    <w:rsid w:val="03605EEA"/>
    <w:rsid w:val="05741F3D"/>
    <w:rsid w:val="081D013C"/>
    <w:rsid w:val="08E103AB"/>
    <w:rsid w:val="0A30788E"/>
    <w:rsid w:val="0ADE4FBC"/>
    <w:rsid w:val="0B5065ED"/>
    <w:rsid w:val="0B5A596D"/>
    <w:rsid w:val="0BE7727B"/>
    <w:rsid w:val="0C7C7F9A"/>
    <w:rsid w:val="0D03050D"/>
    <w:rsid w:val="0F2D07B8"/>
    <w:rsid w:val="113741D2"/>
    <w:rsid w:val="120458B9"/>
    <w:rsid w:val="179A33B5"/>
    <w:rsid w:val="18F85CB2"/>
    <w:rsid w:val="195A7581"/>
    <w:rsid w:val="1B9E644B"/>
    <w:rsid w:val="1D34261E"/>
    <w:rsid w:val="25612129"/>
    <w:rsid w:val="27763E54"/>
    <w:rsid w:val="28192488"/>
    <w:rsid w:val="286C00E4"/>
    <w:rsid w:val="291D026D"/>
    <w:rsid w:val="294060CC"/>
    <w:rsid w:val="29926EF7"/>
    <w:rsid w:val="2A5A6C58"/>
    <w:rsid w:val="2B610A69"/>
    <w:rsid w:val="2DAD2771"/>
    <w:rsid w:val="30FF700F"/>
    <w:rsid w:val="35551E3A"/>
    <w:rsid w:val="38DE584B"/>
    <w:rsid w:val="3CBE537D"/>
    <w:rsid w:val="3DDA36AF"/>
    <w:rsid w:val="402A5552"/>
    <w:rsid w:val="419D72BE"/>
    <w:rsid w:val="446E21BE"/>
    <w:rsid w:val="47774AD4"/>
    <w:rsid w:val="48CF403B"/>
    <w:rsid w:val="492D3F72"/>
    <w:rsid w:val="51563762"/>
    <w:rsid w:val="527E074E"/>
    <w:rsid w:val="53052981"/>
    <w:rsid w:val="532D584C"/>
    <w:rsid w:val="53366125"/>
    <w:rsid w:val="538D015A"/>
    <w:rsid w:val="56511B8E"/>
    <w:rsid w:val="56777DEA"/>
    <w:rsid w:val="579503FF"/>
    <w:rsid w:val="57BF4E73"/>
    <w:rsid w:val="59A162E7"/>
    <w:rsid w:val="602939A2"/>
    <w:rsid w:val="60535296"/>
    <w:rsid w:val="60A10F80"/>
    <w:rsid w:val="631C2575"/>
    <w:rsid w:val="65574882"/>
    <w:rsid w:val="65AF4378"/>
    <w:rsid w:val="68D026FB"/>
    <w:rsid w:val="698A357C"/>
    <w:rsid w:val="6A9230C8"/>
    <w:rsid w:val="6ABC506E"/>
    <w:rsid w:val="6CED622C"/>
    <w:rsid w:val="7067172E"/>
    <w:rsid w:val="707253FE"/>
    <w:rsid w:val="71731378"/>
    <w:rsid w:val="71990445"/>
    <w:rsid w:val="72FD2525"/>
    <w:rsid w:val="733801A6"/>
    <w:rsid w:val="743F2E2D"/>
    <w:rsid w:val="7BEA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6">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link w:val="10"/>
    <w:qFormat/>
    <w:uiPriority w:val="0"/>
    <w:pPr>
      <w:tabs>
        <w:tab w:val="center" w:pos="4153"/>
        <w:tab w:val="right" w:pos="8306"/>
      </w:tabs>
      <w:snapToGrid w:val="0"/>
      <w:jc w:val="left"/>
    </w:pPr>
    <w:rPr>
      <w:kern w:val="0"/>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kern w:val="0"/>
      <w:sz w:val="18"/>
      <w:szCs w:val="18"/>
    </w:rPr>
  </w:style>
  <w:style w:type="character" w:styleId="7">
    <w:name w:val="line number"/>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脚 字符"/>
    <w:link w:val="4"/>
    <w:qFormat/>
    <w:uiPriority w:val="0"/>
    <w:rPr>
      <w:sz w:val="18"/>
      <w:szCs w:val="18"/>
    </w:rPr>
  </w:style>
  <w:style w:type="character" w:customStyle="1" w:styleId="11">
    <w:name w:val="页眉 字符"/>
    <w:link w:val="5"/>
    <w:qFormat/>
    <w:uiPriority w:val="0"/>
    <w:rPr>
      <w:sz w:val="18"/>
      <w:szCs w:val="18"/>
    </w:rPr>
  </w:style>
  <w:style w:type="paragraph" w:styleId="12">
    <w:name w:val="List Paragraph"/>
    <w:basedOn w:val="1"/>
    <w:qFormat/>
    <w:uiPriority w:val="0"/>
    <w:pPr>
      <w:ind w:firstLine="420" w:firstLineChars="200"/>
    </w:pPr>
  </w:style>
  <w:style w:type="character" w:customStyle="1" w:styleId="13">
    <w:name w:val="批注框文本 字符"/>
    <w:link w:val="3"/>
    <w:qFormat/>
    <w:uiPriority w:val="0"/>
    <w:rPr>
      <w:kern w:val="2"/>
      <w:sz w:val="18"/>
      <w:szCs w:val="18"/>
    </w:rPr>
  </w:style>
  <w:style w:type="character" w:customStyle="1" w:styleId="14">
    <w:name w:val="标题 1 字符"/>
    <w:link w:val="2"/>
    <w:qFormat/>
    <w:uiPriority w:val="0"/>
    <w:rPr>
      <w:rFonts w:ascii="Times New Roman" w:hAnsi="Times New Roman"/>
      <w:b/>
      <w:bCs/>
      <w:kern w:val="44"/>
      <w:sz w:val="44"/>
      <w:szCs w:val="44"/>
    </w:rPr>
  </w:style>
  <w:style w:type="paragraph" w:customStyle="1" w:styleId="15">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gansu</Company>
  <Pages>52</Pages>
  <Words>3050</Words>
  <Characters>17387</Characters>
  <Lines>144</Lines>
  <Paragraphs>40</Paragraphs>
  <TotalTime>32</TotalTime>
  <ScaleCrop>false</ScaleCrop>
  <LinksUpToDate>false</LinksUpToDate>
  <CharactersWithSpaces>20397</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2024-03-13T02:26:00Z</dcterms:created>
  <dc:creator>ys</dc:creator>
  <cp:lastModifiedBy>Administrator</cp:lastModifiedBy>
  <cp:lastPrinted>2022-02-15T07:45:00Z</cp:lastPrinted>
  <dcterms:modified xsi:type="dcterms:W3CDTF">2024-03-13T04:45:38Z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4746AA2B63644A919A7677ADD6665D0C</vt:lpwstr>
  </property>
</Properties>
</file>